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9A768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25AF3">
              <w:t>1922</w:t>
            </w:r>
          </w:p>
          <w:p w14:paraId="34BDABA6" w14:textId="7826C22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71451">
              <w:t>5</w:t>
            </w:r>
            <w:r w:rsidR="00EF37F8">
              <w:t xml:space="preserve"> </w:t>
            </w:r>
            <w:r w:rsidR="00D25AF3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3DD618" w14:textId="7617C82C" w:rsidR="00D25AF3" w:rsidRPr="00D25AF3" w:rsidRDefault="00D25AF3" w:rsidP="00B0168F">
      <w:pPr>
        <w:pStyle w:val="Heading2"/>
        <w:numPr>
          <w:ilvl w:val="0"/>
          <w:numId w:val="3"/>
        </w:numPr>
      </w:pPr>
      <w:r w:rsidRPr="00D25AF3">
        <w:t xml:space="preserve">Since 2013 how many Police Scotland officers have been subjected to gross misconduct investigations? (If it is possible, please break this down by year). </w:t>
      </w:r>
    </w:p>
    <w:p w14:paraId="0D4B1CA1" w14:textId="07AC591F" w:rsidR="00D25AF3" w:rsidRPr="00D25AF3" w:rsidRDefault="00D25AF3" w:rsidP="00B0168F">
      <w:pPr>
        <w:pStyle w:val="Heading2"/>
        <w:numPr>
          <w:ilvl w:val="0"/>
          <w:numId w:val="3"/>
        </w:numPr>
      </w:pPr>
      <w:r w:rsidRPr="00D25AF3">
        <w:t xml:space="preserve">Of those subject to gross misconduct investigations since 2013, how many officers were suspended or placed on duty restrictions? </w:t>
      </w:r>
    </w:p>
    <w:p w14:paraId="23269076" w14:textId="79E3A0C6" w:rsidR="00D25AF3" w:rsidRDefault="00D25AF3" w:rsidP="00B0168F">
      <w:pPr>
        <w:pStyle w:val="Heading2"/>
        <w:numPr>
          <w:ilvl w:val="0"/>
          <w:numId w:val="3"/>
        </w:numPr>
      </w:pPr>
      <w:r w:rsidRPr="00D25AF3">
        <w:t xml:space="preserve">Of those subject to gross misconduct investigations since 2013, how many officers have chosen to resign or retire before a hearing could take place? </w:t>
      </w:r>
    </w:p>
    <w:p w14:paraId="29832D8A" w14:textId="54FB9283" w:rsidR="00B0168F" w:rsidRDefault="00B0168F" w:rsidP="00B0168F">
      <w:bookmarkStart w:id="0" w:name="_Hlk167358918"/>
      <w:r w:rsidRPr="004365BB">
        <w:t xml:space="preserve">The formal disciplinary process for Police </w:t>
      </w:r>
      <w:r w:rsidR="00B80994">
        <w:t>o</w:t>
      </w:r>
      <w:r w:rsidRPr="004365BB">
        <w:t xml:space="preserve">fficers is governed by </w:t>
      </w:r>
      <w:hyperlink r:id="rId11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</w:p>
    <w:p w14:paraId="5FFAC078" w14:textId="71AA04A6" w:rsidR="00B0168F" w:rsidRDefault="00B0168F" w:rsidP="00B0168F">
      <w:r w:rsidRPr="004365BB">
        <w:t xml:space="preserve">The </w:t>
      </w:r>
      <w:r>
        <w:t>associated</w:t>
      </w:r>
      <w:r w:rsidRPr="004365BB">
        <w:t xml:space="preserve"> </w:t>
      </w:r>
      <w:hyperlink r:id="rId12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</w:t>
      </w:r>
      <w:r w:rsidR="00BF0E5B">
        <w:t>.</w:t>
      </w:r>
    </w:p>
    <w:p w14:paraId="31B69E6D" w14:textId="77777777" w:rsidR="00B0168F" w:rsidRDefault="00B0168F" w:rsidP="00B0168F">
      <w:r>
        <w:t xml:space="preserve">You may also be interested in our </w:t>
      </w:r>
      <w:hyperlink r:id="rId13" w:history="1">
        <w:r>
          <w:rPr>
            <w:color w:val="0000FF"/>
            <w:u w:val="single"/>
          </w:rPr>
          <w:t>Suspension from Duty SOP</w:t>
        </w:r>
      </w:hyperlink>
      <w:r>
        <w:rPr>
          <w:color w:val="0000FF"/>
          <w:u w:val="single"/>
        </w:rPr>
        <w:t>.</w:t>
      </w:r>
    </w:p>
    <w:p w14:paraId="43679E60" w14:textId="50AC1138" w:rsidR="00154DD5" w:rsidRPr="00B80994" w:rsidRDefault="00460486" w:rsidP="00154DD5">
      <w:pPr>
        <w:rPr>
          <w:i/>
          <w:iCs/>
        </w:rPr>
      </w:pPr>
      <w:r>
        <w:t xml:space="preserve">Data </w:t>
      </w:r>
      <w:r w:rsidR="00154DD5">
        <w:t xml:space="preserve">for the period 2013 to </w:t>
      </w:r>
      <w:r>
        <w:t>31 March</w:t>
      </w:r>
      <w:r w:rsidR="006877B8">
        <w:t xml:space="preserve"> </w:t>
      </w:r>
      <w:r w:rsidR="00154DD5">
        <w:t xml:space="preserve">2014 </w:t>
      </w:r>
      <w:r>
        <w:t>is not held by Police Scotland and s</w:t>
      </w:r>
      <w:r w:rsidR="00154DD5">
        <w:t>ection 17 of the Act applies.</w:t>
      </w:r>
    </w:p>
    <w:bookmarkEnd w:id="0"/>
    <w:p w14:paraId="5DBF7719" w14:textId="77777777" w:rsidR="00B0168F" w:rsidRDefault="00154DD5" w:rsidP="000B684C">
      <w:r>
        <w:rPr>
          <w:rFonts w:eastAsiaTheme="majorEastAsia" w:cstheme="majorBidi"/>
          <w:bCs/>
          <w:color w:val="000000" w:themeColor="text1"/>
          <w:szCs w:val="26"/>
        </w:rPr>
        <w:t>I</w:t>
      </w:r>
      <w:r w:rsidR="000B684C" w:rsidRPr="000B684C">
        <w:rPr>
          <w:rFonts w:eastAsiaTheme="majorEastAsia" w:cstheme="majorBidi"/>
          <w:bCs/>
          <w:color w:val="000000" w:themeColor="text1"/>
          <w:szCs w:val="26"/>
        </w:rPr>
        <w:t xml:space="preserve">n relation to </w:t>
      </w:r>
      <w:r w:rsidR="000B684C">
        <w:rPr>
          <w:rFonts w:eastAsiaTheme="majorEastAsia" w:cstheme="majorBidi"/>
          <w:bCs/>
          <w:color w:val="000000" w:themeColor="text1"/>
          <w:szCs w:val="26"/>
        </w:rPr>
        <w:t xml:space="preserve">the period </w:t>
      </w:r>
      <w:r w:rsidR="00EB65C4">
        <w:rPr>
          <w:rFonts w:eastAsiaTheme="majorEastAsia" w:cstheme="majorBidi"/>
          <w:bCs/>
          <w:color w:val="000000" w:themeColor="text1"/>
          <w:szCs w:val="26"/>
        </w:rPr>
        <w:t>1</w:t>
      </w:r>
      <w:r w:rsidR="00460486">
        <w:rPr>
          <w:rFonts w:eastAsiaTheme="majorEastAsia" w:cstheme="majorBidi"/>
          <w:bCs/>
          <w:color w:val="000000" w:themeColor="text1"/>
          <w:szCs w:val="26"/>
        </w:rPr>
        <w:t xml:space="preserve"> April </w:t>
      </w:r>
      <w:r w:rsidR="00EB65C4">
        <w:rPr>
          <w:rFonts w:eastAsiaTheme="majorEastAsia" w:cstheme="majorBidi"/>
          <w:bCs/>
          <w:color w:val="000000" w:themeColor="text1"/>
          <w:szCs w:val="26"/>
        </w:rPr>
        <w:t>2014 to 31</w:t>
      </w:r>
      <w:r w:rsidR="00460486">
        <w:rPr>
          <w:rFonts w:eastAsiaTheme="majorEastAsia" w:cstheme="majorBidi"/>
          <w:bCs/>
          <w:color w:val="000000" w:themeColor="text1"/>
          <w:szCs w:val="26"/>
        </w:rPr>
        <w:t xml:space="preserve"> December 2019, </w:t>
      </w:r>
      <w:r w:rsidR="006877B8" w:rsidRPr="00453F0A">
        <w:t>I estimate that it would cost well in excess</w:t>
      </w:r>
      <w:r w:rsidR="006877B8">
        <w:t xml:space="preserve"> of</w:t>
      </w:r>
      <w:r w:rsidR="006877B8" w:rsidRPr="00453F0A">
        <w:t xml:space="preserve"> </w:t>
      </w:r>
      <w:r w:rsidR="006877B8">
        <w:t>t</w:t>
      </w:r>
      <w:r w:rsidR="006877B8" w:rsidRPr="00453F0A">
        <w:t xml:space="preserve">he </w:t>
      </w:r>
      <w:r w:rsidR="006877B8" w:rsidRPr="00982D19">
        <w:t>current FOI cost threshold</w:t>
      </w:r>
      <w:r w:rsidR="006877B8">
        <w:t xml:space="preserve"> of </w:t>
      </w:r>
      <w:r w:rsidR="006877B8" w:rsidRPr="00453F0A">
        <w:t>£600</w:t>
      </w:r>
      <w:r w:rsidR="006877B8">
        <w:t xml:space="preserve"> to process this part of your request.  I am therefore refusing to provide the information sought in terms of s</w:t>
      </w:r>
      <w:r w:rsidR="006877B8" w:rsidRPr="00453F0A">
        <w:t xml:space="preserve">ection 12(1) </w:t>
      </w:r>
      <w:r w:rsidR="006877B8">
        <w:t xml:space="preserve">of the Act - </w:t>
      </w:r>
      <w:r w:rsidR="006877B8" w:rsidRPr="00453F0A">
        <w:t>Excessive Cost of Compliance.</w:t>
      </w:r>
      <w:r w:rsidR="00B0168F">
        <w:t xml:space="preserve">  </w:t>
      </w:r>
    </w:p>
    <w:p w14:paraId="73A58544" w14:textId="76E976E1" w:rsidR="000B684C" w:rsidRPr="000B684C" w:rsidRDefault="006877B8" w:rsidP="000B684C">
      <w:pPr>
        <w:rPr>
          <w:rFonts w:eastAsiaTheme="majorEastAsia" w:cstheme="majorBidi"/>
          <w:bCs/>
          <w:color w:val="000000" w:themeColor="text1"/>
          <w:szCs w:val="26"/>
        </w:rPr>
      </w:pPr>
      <w:r>
        <w:t xml:space="preserve">To explain, each record would have to be individually assessed to </w:t>
      </w:r>
      <w:r w:rsidR="00460486">
        <w:t>identify</w:t>
      </w:r>
      <w:r>
        <w:t xml:space="preserve"> those relating to Gross Misconduct</w:t>
      </w:r>
      <w:r w:rsidR="008C70B2">
        <w:t xml:space="preserve"> as there was no separate recording process at that time.</w:t>
      </w:r>
    </w:p>
    <w:p w14:paraId="79F3A76F" w14:textId="767C7AE6" w:rsidR="009A25B7" w:rsidRDefault="000B684C" w:rsidP="009A25B7">
      <w:pPr>
        <w:rPr>
          <w:lang w:eastAsia="en-GB"/>
        </w:rPr>
      </w:pPr>
      <w:r>
        <w:rPr>
          <w:lang w:eastAsia="en-GB"/>
        </w:rPr>
        <w:t xml:space="preserve">For the period </w:t>
      </w:r>
      <w:r w:rsidR="00B0168F">
        <w:rPr>
          <w:lang w:eastAsia="en-GB"/>
        </w:rPr>
        <w:t xml:space="preserve">1 January </w:t>
      </w:r>
      <w:r>
        <w:rPr>
          <w:lang w:eastAsia="en-GB"/>
        </w:rPr>
        <w:t>2020 to date,</w:t>
      </w:r>
      <w:r w:rsidR="009A25B7">
        <w:rPr>
          <w:lang w:eastAsia="en-GB"/>
        </w:rPr>
        <w:t xml:space="preserve"> the table below </w:t>
      </w:r>
      <w:r w:rsidR="00B0168F">
        <w:rPr>
          <w:lang w:eastAsia="en-GB"/>
        </w:rPr>
        <w:t>details</w:t>
      </w:r>
      <w:r w:rsidR="009A25B7">
        <w:rPr>
          <w:lang w:eastAsia="en-GB"/>
        </w:rPr>
        <w:t xml:space="preserve"> </w:t>
      </w:r>
      <w:r w:rsidR="00701C31">
        <w:rPr>
          <w:lang w:eastAsia="en-GB"/>
        </w:rPr>
        <w:t>o</w:t>
      </w:r>
      <w:r w:rsidR="009A25B7" w:rsidRPr="009A25B7">
        <w:rPr>
          <w:lang w:eastAsia="en-GB"/>
        </w:rPr>
        <w:t xml:space="preserve">fficers </w:t>
      </w:r>
      <w:r w:rsidR="00B0168F">
        <w:rPr>
          <w:lang w:eastAsia="en-GB"/>
        </w:rPr>
        <w:t xml:space="preserve">(including </w:t>
      </w:r>
      <w:r w:rsidR="00B0168F">
        <w:t>Special Constables)</w:t>
      </w:r>
      <w:r w:rsidR="00B0168F" w:rsidRPr="009A25B7">
        <w:rPr>
          <w:lang w:eastAsia="en-GB"/>
        </w:rPr>
        <w:t xml:space="preserve"> </w:t>
      </w:r>
      <w:r w:rsidR="00B0168F">
        <w:rPr>
          <w:lang w:eastAsia="en-GB"/>
        </w:rPr>
        <w:t xml:space="preserve">who were </w:t>
      </w:r>
      <w:r w:rsidR="009A25B7" w:rsidRPr="009A25B7">
        <w:rPr>
          <w:lang w:eastAsia="en-GB"/>
        </w:rPr>
        <w:t>subject to Gross Misconduct investigations</w:t>
      </w:r>
      <w:r w:rsidR="00B0168F">
        <w:rPr>
          <w:lang w:eastAsia="en-GB"/>
        </w:rPr>
        <w:t xml:space="preserve"> </w:t>
      </w:r>
      <w:r w:rsidR="001D73E2">
        <w:rPr>
          <w:lang w:eastAsia="en-GB"/>
        </w:rPr>
        <w:t xml:space="preserve">in </w:t>
      </w:r>
      <w:r w:rsidR="00B0168F">
        <w:rPr>
          <w:lang w:eastAsia="en-GB"/>
        </w:rPr>
        <w:t xml:space="preserve">each calendar year - with a subset of those who were </w:t>
      </w:r>
      <w:r w:rsidR="009A25B7" w:rsidRPr="009A25B7">
        <w:rPr>
          <w:lang w:eastAsia="en-GB"/>
        </w:rPr>
        <w:t>restricted or suspended</w:t>
      </w:r>
      <w:r w:rsidR="006877B8">
        <w:rPr>
          <w:lang w:eastAsia="en-GB"/>
        </w:rPr>
        <w:t xml:space="preserve"> and </w:t>
      </w:r>
      <w:r w:rsidR="00B0168F">
        <w:rPr>
          <w:lang w:eastAsia="en-GB"/>
        </w:rPr>
        <w:t>those who</w:t>
      </w:r>
      <w:r w:rsidR="009A25B7" w:rsidRPr="009A25B7">
        <w:rPr>
          <w:lang w:eastAsia="en-GB"/>
        </w:rPr>
        <w:t xml:space="preserve"> resigned/</w:t>
      </w:r>
      <w:r w:rsidR="00B0168F">
        <w:rPr>
          <w:lang w:eastAsia="en-GB"/>
        </w:rPr>
        <w:t xml:space="preserve"> </w:t>
      </w:r>
      <w:r w:rsidR="009A25B7" w:rsidRPr="009A25B7">
        <w:rPr>
          <w:lang w:eastAsia="en-GB"/>
        </w:rPr>
        <w:t xml:space="preserve">retired prior to </w:t>
      </w:r>
      <w:r w:rsidR="00B0168F">
        <w:rPr>
          <w:lang w:eastAsia="en-GB"/>
        </w:rPr>
        <w:t xml:space="preserve">a </w:t>
      </w:r>
      <w:r w:rsidR="00B80994">
        <w:rPr>
          <w:lang w:eastAsia="en-GB"/>
        </w:rPr>
        <w:t>H</w:t>
      </w:r>
      <w:r w:rsidR="009A25B7" w:rsidRPr="009A25B7">
        <w:rPr>
          <w:lang w:eastAsia="en-GB"/>
        </w:rPr>
        <w:t>earing date</w:t>
      </w:r>
      <w:r w:rsidR="00701C31">
        <w:rPr>
          <w:lang w:eastAsia="en-GB"/>
        </w:rPr>
        <w:t xml:space="preserve"> in line with your request</w:t>
      </w:r>
      <w:r w:rsidR="00B0168F">
        <w:rPr>
          <w:lang w:eastAsia="en-GB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959"/>
        <w:gridCol w:w="750"/>
        <w:gridCol w:w="811"/>
        <w:gridCol w:w="750"/>
        <w:gridCol w:w="804"/>
        <w:gridCol w:w="844"/>
      </w:tblGrid>
      <w:tr w:rsidR="00B0168F" w:rsidRPr="00B0168F" w14:paraId="42B91303" w14:textId="77777777" w:rsidTr="001D73E2">
        <w:trPr>
          <w:trHeight w:val="330"/>
        </w:trPr>
        <w:tc>
          <w:tcPr>
            <w:tcW w:w="6091" w:type="dxa"/>
            <w:shd w:val="clear" w:color="auto" w:fill="D9D9D9" w:themeFill="background1" w:themeFillShade="D9"/>
            <w:hideMark/>
          </w:tcPr>
          <w:p w14:paraId="6A1C100E" w14:textId="735F9550" w:rsidR="00B0168F" w:rsidRPr="00B0168F" w:rsidRDefault="00B0168F" w:rsidP="00B0168F">
            <w:pPr>
              <w:spacing w:line="240" w:lineRule="auto"/>
              <w:rPr>
                <w:b/>
                <w:bCs/>
              </w:rPr>
            </w:pPr>
            <w:r w:rsidRPr="00B0168F">
              <w:rPr>
                <w:b/>
                <w:bCs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14:paraId="51A0D0DC" w14:textId="77777777" w:rsidR="00B0168F" w:rsidRPr="00B0168F" w:rsidRDefault="00B0168F" w:rsidP="00B0168F">
            <w:pPr>
              <w:spacing w:line="240" w:lineRule="auto"/>
              <w:rPr>
                <w:b/>
                <w:bCs/>
              </w:rPr>
            </w:pPr>
            <w:r w:rsidRPr="00B0168F">
              <w:rPr>
                <w:b/>
                <w:bCs/>
              </w:rPr>
              <w:t>2020</w:t>
            </w:r>
          </w:p>
        </w:tc>
        <w:tc>
          <w:tcPr>
            <w:tcW w:w="813" w:type="dxa"/>
            <w:shd w:val="clear" w:color="auto" w:fill="D9D9D9" w:themeFill="background1" w:themeFillShade="D9"/>
            <w:hideMark/>
          </w:tcPr>
          <w:p w14:paraId="217977B8" w14:textId="77777777" w:rsidR="00B0168F" w:rsidRPr="00B0168F" w:rsidRDefault="00B0168F" w:rsidP="00B0168F">
            <w:pPr>
              <w:spacing w:line="240" w:lineRule="auto"/>
              <w:rPr>
                <w:b/>
                <w:bCs/>
              </w:rPr>
            </w:pPr>
            <w:r w:rsidRPr="00B0168F">
              <w:rPr>
                <w:b/>
                <w:bCs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  <w:hideMark/>
          </w:tcPr>
          <w:p w14:paraId="4BF2819E" w14:textId="77777777" w:rsidR="00B0168F" w:rsidRPr="00B0168F" w:rsidRDefault="00B0168F" w:rsidP="00B0168F">
            <w:pPr>
              <w:spacing w:line="240" w:lineRule="auto"/>
              <w:rPr>
                <w:b/>
                <w:bCs/>
              </w:rPr>
            </w:pPr>
            <w:r w:rsidRPr="00B0168F">
              <w:rPr>
                <w:b/>
                <w:bCs/>
              </w:rPr>
              <w:t>2022</w:t>
            </w:r>
          </w:p>
        </w:tc>
        <w:tc>
          <w:tcPr>
            <w:tcW w:w="806" w:type="dxa"/>
            <w:shd w:val="clear" w:color="auto" w:fill="D9D9D9" w:themeFill="background1" w:themeFillShade="D9"/>
            <w:hideMark/>
          </w:tcPr>
          <w:p w14:paraId="316377F2" w14:textId="77777777" w:rsidR="00B0168F" w:rsidRPr="00B0168F" w:rsidRDefault="00B0168F" w:rsidP="00B0168F">
            <w:pPr>
              <w:spacing w:line="240" w:lineRule="auto"/>
              <w:rPr>
                <w:b/>
                <w:bCs/>
              </w:rPr>
            </w:pPr>
            <w:r w:rsidRPr="00B0168F">
              <w:rPr>
                <w:b/>
                <w:bCs/>
              </w:rPr>
              <w:t>2023</w:t>
            </w:r>
          </w:p>
        </w:tc>
        <w:tc>
          <w:tcPr>
            <w:tcW w:w="750" w:type="dxa"/>
            <w:shd w:val="clear" w:color="auto" w:fill="D9D9D9" w:themeFill="background1" w:themeFillShade="D9"/>
            <w:hideMark/>
          </w:tcPr>
          <w:p w14:paraId="4FFD47D2" w14:textId="50699FB5" w:rsidR="00B0168F" w:rsidRPr="00B0168F" w:rsidRDefault="00B0168F" w:rsidP="00B0168F">
            <w:pPr>
              <w:spacing w:line="240" w:lineRule="auto"/>
              <w:rPr>
                <w:b/>
                <w:bCs/>
              </w:rPr>
            </w:pPr>
            <w:r w:rsidRPr="00B0168F">
              <w:rPr>
                <w:b/>
                <w:bCs/>
              </w:rPr>
              <w:t>2024</w:t>
            </w:r>
            <w:r w:rsidR="00B80994">
              <w:rPr>
                <w:b/>
                <w:bCs/>
              </w:rPr>
              <w:t>*</w:t>
            </w:r>
          </w:p>
        </w:tc>
      </w:tr>
      <w:tr w:rsidR="00B0168F" w:rsidRPr="00B0168F" w14:paraId="37588F7F" w14:textId="77777777" w:rsidTr="001D73E2">
        <w:trPr>
          <w:trHeight w:val="330"/>
        </w:trPr>
        <w:tc>
          <w:tcPr>
            <w:tcW w:w="6091" w:type="dxa"/>
            <w:hideMark/>
          </w:tcPr>
          <w:p w14:paraId="511B3E1E" w14:textId="7352C870" w:rsidR="00B0168F" w:rsidRPr="00B0168F" w:rsidRDefault="00B0168F" w:rsidP="00B0168F">
            <w:pPr>
              <w:spacing w:line="240" w:lineRule="auto"/>
            </w:pPr>
            <w:r w:rsidRPr="00B0168F">
              <w:t>Officers subject to Gross Misconduct Investigations</w:t>
            </w:r>
          </w:p>
        </w:tc>
        <w:tc>
          <w:tcPr>
            <w:tcW w:w="708" w:type="dxa"/>
            <w:hideMark/>
          </w:tcPr>
          <w:p w14:paraId="1D2AF18C" w14:textId="77777777" w:rsidR="00B0168F" w:rsidRPr="00B0168F" w:rsidRDefault="00B0168F" w:rsidP="00B0168F">
            <w:pPr>
              <w:spacing w:line="240" w:lineRule="auto"/>
            </w:pPr>
            <w:r w:rsidRPr="00B0168F">
              <w:t>32</w:t>
            </w:r>
          </w:p>
        </w:tc>
        <w:tc>
          <w:tcPr>
            <w:tcW w:w="813" w:type="dxa"/>
            <w:hideMark/>
          </w:tcPr>
          <w:p w14:paraId="138149E0" w14:textId="77777777" w:rsidR="00B0168F" w:rsidRPr="00B0168F" w:rsidRDefault="00B0168F" w:rsidP="00B0168F">
            <w:pPr>
              <w:spacing w:line="240" w:lineRule="auto"/>
            </w:pPr>
            <w:r w:rsidRPr="00B0168F">
              <w:t>38</w:t>
            </w:r>
          </w:p>
        </w:tc>
        <w:tc>
          <w:tcPr>
            <w:tcW w:w="750" w:type="dxa"/>
            <w:hideMark/>
          </w:tcPr>
          <w:p w14:paraId="61FBCAD3" w14:textId="77777777" w:rsidR="00B0168F" w:rsidRPr="00B0168F" w:rsidRDefault="00B0168F" w:rsidP="00B0168F">
            <w:pPr>
              <w:spacing w:line="240" w:lineRule="auto"/>
            </w:pPr>
            <w:r w:rsidRPr="00B0168F">
              <w:t>43</w:t>
            </w:r>
          </w:p>
        </w:tc>
        <w:tc>
          <w:tcPr>
            <w:tcW w:w="806" w:type="dxa"/>
            <w:hideMark/>
          </w:tcPr>
          <w:p w14:paraId="13A0E030" w14:textId="77777777" w:rsidR="00B0168F" w:rsidRPr="00B0168F" w:rsidRDefault="00B0168F" w:rsidP="00B0168F">
            <w:pPr>
              <w:spacing w:line="240" w:lineRule="auto"/>
            </w:pPr>
            <w:r w:rsidRPr="00B0168F">
              <w:t>59</w:t>
            </w:r>
          </w:p>
        </w:tc>
        <w:tc>
          <w:tcPr>
            <w:tcW w:w="750" w:type="dxa"/>
            <w:hideMark/>
          </w:tcPr>
          <w:p w14:paraId="1DC55B9E" w14:textId="77777777" w:rsidR="00B0168F" w:rsidRPr="00B0168F" w:rsidRDefault="00B0168F" w:rsidP="00B0168F">
            <w:pPr>
              <w:spacing w:line="240" w:lineRule="auto"/>
            </w:pPr>
            <w:r w:rsidRPr="00B0168F">
              <w:t>41</w:t>
            </w:r>
          </w:p>
        </w:tc>
      </w:tr>
      <w:tr w:rsidR="00B0168F" w:rsidRPr="00B0168F" w14:paraId="3A8E8855" w14:textId="77777777" w:rsidTr="001D73E2">
        <w:trPr>
          <w:trHeight w:val="330"/>
        </w:trPr>
        <w:tc>
          <w:tcPr>
            <w:tcW w:w="6091" w:type="dxa"/>
            <w:hideMark/>
          </w:tcPr>
          <w:p w14:paraId="5B85BF78" w14:textId="7B4F8D84" w:rsidR="00B0168F" w:rsidRPr="00B0168F" w:rsidRDefault="00B0168F" w:rsidP="00B0168F">
            <w:pPr>
              <w:spacing w:line="240" w:lineRule="auto"/>
            </w:pPr>
            <w:r w:rsidRPr="00B0168F">
              <w:t>O</w:t>
            </w:r>
            <w:r w:rsidR="001D73E2">
              <w:t>f those, officer was r</w:t>
            </w:r>
            <w:r w:rsidRPr="00B0168F">
              <w:t>estricted/</w:t>
            </w:r>
            <w:r>
              <w:t xml:space="preserve"> </w:t>
            </w:r>
            <w:r w:rsidR="001D73E2">
              <w:t>s</w:t>
            </w:r>
            <w:r w:rsidRPr="00B0168F">
              <w:t>uspended</w:t>
            </w:r>
          </w:p>
        </w:tc>
        <w:tc>
          <w:tcPr>
            <w:tcW w:w="708" w:type="dxa"/>
            <w:hideMark/>
          </w:tcPr>
          <w:p w14:paraId="350F519C" w14:textId="77777777" w:rsidR="00B0168F" w:rsidRPr="00B0168F" w:rsidRDefault="00B0168F" w:rsidP="00B0168F">
            <w:pPr>
              <w:spacing w:line="240" w:lineRule="auto"/>
            </w:pPr>
            <w:r w:rsidRPr="00B0168F">
              <w:t>30</w:t>
            </w:r>
          </w:p>
        </w:tc>
        <w:tc>
          <w:tcPr>
            <w:tcW w:w="813" w:type="dxa"/>
            <w:hideMark/>
          </w:tcPr>
          <w:p w14:paraId="27BAA08B" w14:textId="77777777" w:rsidR="00B0168F" w:rsidRPr="00B0168F" w:rsidRDefault="00B0168F" w:rsidP="00B0168F">
            <w:pPr>
              <w:spacing w:line="240" w:lineRule="auto"/>
            </w:pPr>
            <w:r w:rsidRPr="00B0168F">
              <w:t>34</w:t>
            </w:r>
          </w:p>
        </w:tc>
        <w:tc>
          <w:tcPr>
            <w:tcW w:w="750" w:type="dxa"/>
            <w:hideMark/>
          </w:tcPr>
          <w:p w14:paraId="3DADCA4A" w14:textId="77777777" w:rsidR="00B0168F" w:rsidRPr="00B0168F" w:rsidRDefault="00B0168F" w:rsidP="00B0168F">
            <w:pPr>
              <w:spacing w:line="240" w:lineRule="auto"/>
            </w:pPr>
            <w:r w:rsidRPr="00B0168F">
              <w:t>41</w:t>
            </w:r>
          </w:p>
        </w:tc>
        <w:tc>
          <w:tcPr>
            <w:tcW w:w="806" w:type="dxa"/>
            <w:hideMark/>
          </w:tcPr>
          <w:p w14:paraId="4F3651E6" w14:textId="77777777" w:rsidR="00B0168F" w:rsidRPr="00B0168F" w:rsidRDefault="00B0168F" w:rsidP="00B0168F">
            <w:pPr>
              <w:spacing w:line="240" w:lineRule="auto"/>
            </w:pPr>
            <w:r w:rsidRPr="00B0168F">
              <w:t>59</w:t>
            </w:r>
          </w:p>
        </w:tc>
        <w:tc>
          <w:tcPr>
            <w:tcW w:w="750" w:type="dxa"/>
            <w:hideMark/>
          </w:tcPr>
          <w:p w14:paraId="71F0B64C" w14:textId="77777777" w:rsidR="00B0168F" w:rsidRPr="00B0168F" w:rsidRDefault="00B0168F" w:rsidP="00B0168F">
            <w:pPr>
              <w:spacing w:line="240" w:lineRule="auto"/>
            </w:pPr>
            <w:r w:rsidRPr="00B0168F">
              <w:t>41</w:t>
            </w:r>
          </w:p>
        </w:tc>
      </w:tr>
      <w:tr w:rsidR="00B0168F" w:rsidRPr="00B0168F" w14:paraId="522D483C" w14:textId="77777777" w:rsidTr="001D73E2">
        <w:trPr>
          <w:trHeight w:val="645"/>
        </w:trPr>
        <w:tc>
          <w:tcPr>
            <w:tcW w:w="6091" w:type="dxa"/>
            <w:hideMark/>
          </w:tcPr>
          <w:p w14:paraId="0910EF23" w14:textId="11CB8913" w:rsidR="00B0168F" w:rsidRPr="00B0168F" w:rsidRDefault="00B0168F" w:rsidP="00B0168F">
            <w:pPr>
              <w:spacing w:line="240" w:lineRule="auto"/>
            </w:pPr>
            <w:r w:rsidRPr="00B0168F">
              <w:t>O</w:t>
            </w:r>
            <w:r w:rsidR="001D73E2">
              <w:t>f those, officer r</w:t>
            </w:r>
            <w:r w:rsidRPr="00B0168F">
              <w:t>esigned/</w:t>
            </w:r>
            <w:r>
              <w:t xml:space="preserve"> </w:t>
            </w:r>
            <w:r w:rsidR="001D73E2">
              <w:t>r</w:t>
            </w:r>
            <w:r w:rsidRPr="00B0168F">
              <w:t>etired prior to Hearing date</w:t>
            </w:r>
          </w:p>
        </w:tc>
        <w:tc>
          <w:tcPr>
            <w:tcW w:w="708" w:type="dxa"/>
            <w:hideMark/>
          </w:tcPr>
          <w:p w14:paraId="69B2C56A" w14:textId="77777777" w:rsidR="00B0168F" w:rsidRPr="00B0168F" w:rsidRDefault="00B0168F" w:rsidP="00B0168F">
            <w:pPr>
              <w:spacing w:line="240" w:lineRule="auto"/>
            </w:pPr>
            <w:r w:rsidRPr="00B0168F">
              <w:t>12</w:t>
            </w:r>
          </w:p>
        </w:tc>
        <w:tc>
          <w:tcPr>
            <w:tcW w:w="813" w:type="dxa"/>
            <w:hideMark/>
          </w:tcPr>
          <w:p w14:paraId="0A4C5A17" w14:textId="77777777" w:rsidR="00B0168F" w:rsidRPr="00B0168F" w:rsidRDefault="00B0168F" w:rsidP="00B0168F">
            <w:pPr>
              <w:spacing w:line="240" w:lineRule="auto"/>
            </w:pPr>
            <w:r w:rsidRPr="00B0168F">
              <w:t>16</w:t>
            </w:r>
          </w:p>
        </w:tc>
        <w:tc>
          <w:tcPr>
            <w:tcW w:w="750" w:type="dxa"/>
            <w:hideMark/>
          </w:tcPr>
          <w:p w14:paraId="2E28CB05" w14:textId="77777777" w:rsidR="00B0168F" w:rsidRPr="00B0168F" w:rsidRDefault="00B0168F" w:rsidP="00B0168F">
            <w:pPr>
              <w:spacing w:line="240" w:lineRule="auto"/>
            </w:pPr>
            <w:r w:rsidRPr="00B0168F">
              <w:t>15</w:t>
            </w:r>
          </w:p>
        </w:tc>
        <w:tc>
          <w:tcPr>
            <w:tcW w:w="806" w:type="dxa"/>
            <w:hideMark/>
          </w:tcPr>
          <w:p w14:paraId="6E014E2A" w14:textId="77777777" w:rsidR="00B0168F" w:rsidRPr="00B0168F" w:rsidRDefault="00B0168F" w:rsidP="00B0168F">
            <w:pPr>
              <w:spacing w:line="240" w:lineRule="auto"/>
            </w:pPr>
            <w:r w:rsidRPr="00B0168F">
              <w:t>14</w:t>
            </w:r>
          </w:p>
        </w:tc>
        <w:tc>
          <w:tcPr>
            <w:tcW w:w="750" w:type="dxa"/>
            <w:hideMark/>
          </w:tcPr>
          <w:p w14:paraId="432088CF" w14:textId="77777777" w:rsidR="00B0168F" w:rsidRPr="00B0168F" w:rsidRDefault="00B0168F" w:rsidP="00B0168F">
            <w:pPr>
              <w:spacing w:line="240" w:lineRule="auto"/>
            </w:pPr>
            <w:r w:rsidRPr="00B0168F">
              <w:t>2</w:t>
            </w:r>
          </w:p>
        </w:tc>
      </w:tr>
    </w:tbl>
    <w:p w14:paraId="5D0EF71C" w14:textId="4AD593E4" w:rsidR="00E90585" w:rsidRPr="00B80994" w:rsidRDefault="00B80994" w:rsidP="00B80994">
      <w:pPr>
        <w:rPr>
          <w:i/>
          <w:iCs/>
          <w:sz w:val="20"/>
          <w:szCs w:val="20"/>
        </w:rPr>
      </w:pPr>
      <w:r w:rsidRPr="00B80994">
        <w:rPr>
          <w:i/>
          <w:iCs/>
          <w:sz w:val="20"/>
          <w:szCs w:val="20"/>
        </w:rPr>
        <w:t xml:space="preserve">* 2024 includes the period 01/01/2024 to </w:t>
      </w:r>
      <w:r w:rsidR="00BB3C8F">
        <w:rPr>
          <w:i/>
          <w:iCs/>
          <w:sz w:val="20"/>
          <w:szCs w:val="20"/>
        </w:rPr>
        <w:t>28/08/2024</w:t>
      </w:r>
    </w:p>
    <w:p w14:paraId="49D363D9" w14:textId="7B142F5B" w:rsidR="00B0168F" w:rsidRDefault="00D25AF3" w:rsidP="00D25AF3">
      <w:r>
        <w:t>Please note, an Officer will only be suspended during a criminal or misconduct</w:t>
      </w:r>
      <w:r w:rsidR="00B80994">
        <w:t xml:space="preserve"> i</w:t>
      </w:r>
      <w:r>
        <w:t>nvestigation, if it is deemed an effective investigation may be prejudiced if the constable is not suspended and</w:t>
      </w:r>
      <w:r w:rsidR="00B0168F">
        <w:t>,</w:t>
      </w:r>
      <w:r>
        <w:t xml:space="preserve"> having regard to the nature of the allegation and any other relevant considerations, the public interest requires the Constable</w:t>
      </w:r>
      <w:r w:rsidR="00B0168F">
        <w:t>’</w:t>
      </w:r>
      <w:r>
        <w:t xml:space="preserve">s suspension.  </w:t>
      </w:r>
    </w:p>
    <w:p w14:paraId="1B0CF481" w14:textId="0C96BCDC" w:rsidR="00B0168F" w:rsidRDefault="00D25AF3" w:rsidP="00D25AF3">
      <w:r>
        <w:t>The same test is applied to consideration of restriction of duties.</w:t>
      </w:r>
    </w:p>
    <w:p w14:paraId="32AFF460" w14:textId="4DAA585E" w:rsidR="00D25AF3" w:rsidRDefault="00D25AF3" w:rsidP="00D25AF3">
      <w:r>
        <w:t xml:space="preserve">The welfare of all persons involved in any investigation, including the Subject Officer is a relevant consideration.  </w:t>
      </w:r>
    </w:p>
    <w:p w14:paraId="49A773AC" w14:textId="78874C9D" w:rsidR="00D25AF3" w:rsidRDefault="00D25AF3" w:rsidP="00D25AF3">
      <w:r>
        <w:t>There may be circumstances, such as where an Officer is on long term absence, where th</w:t>
      </w:r>
      <w:r w:rsidR="00B0168F">
        <w:t>e</w:t>
      </w:r>
      <w:r>
        <w:t xml:space="preserve"> criteria may not be met and as such </w:t>
      </w:r>
      <w:r w:rsidR="009A25B7">
        <w:t>s</w:t>
      </w:r>
      <w:r>
        <w:t>uspension/</w:t>
      </w:r>
      <w:r w:rsidR="00B0168F">
        <w:t xml:space="preserve"> </w:t>
      </w:r>
      <w:r>
        <w:t xml:space="preserve">restriction of </w:t>
      </w:r>
      <w:r w:rsidR="009A25B7">
        <w:t>d</w:t>
      </w:r>
      <w:r>
        <w:t>uties will not be required to be implemented.</w:t>
      </w:r>
    </w:p>
    <w:p w14:paraId="2F3B6082" w14:textId="77777777" w:rsidR="007313A9" w:rsidRDefault="007313A9" w:rsidP="00793DD5"/>
    <w:p w14:paraId="34BDABBE" w14:textId="7BD38B6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083D6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4615F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B1C76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6CCD2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C1DF4B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77242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1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03D0"/>
    <w:multiLevelType w:val="hybridMultilevel"/>
    <w:tmpl w:val="DB864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612"/>
    <w:multiLevelType w:val="hybridMultilevel"/>
    <w:tmpl w:val="DC5E7ADE"/>
    <w:lvl w:ilvl="0" w:tplc="087C01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1717"/>
    <w:multiLevelType w:val="hybridMultilevel"/>
    <w:tmpl w:val="679C39B4"/>
    <w:lvl w:ilvl="0" w:tplc="7CE870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802266200">
    <w:abstractNumId w:val="0"/>
  </w:num>
  <w:num w:numId="3" w16cid:durableId="1694110113">
    <w:abstractNumId w:val="1"/>
  </w:num>
  <w:num w:numId="4" w16cid:durableId="974021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2F30"/>
    <w:rsid w:val="0005082F"/>
    <w:rsid w:val="00090F3B"/>
    <w:rsid w:val="000B684C"/>
    <w:rsid w:val="000B774D"/>
    <w:rsid w:val="000E2F19"/>
    <w:rsid w:val="000E6526"/>
    <w:rsid w:val="0010249A"/>
    <w:rsid w:val="00141533"/>
    <w:rsid w:val="00154DD5"/>
    <w:rsid w:val="00167528"/>
    <w:rsid w:val="00191915"/>
    <w:rsid w:val="00195CC4"/>
    <w:rsid w:val="001B65AC"/>
    <w:rsid w:val="001D73E2"/>
    <w:rsid w:val="00207326"/>
    <w:rsid w:val="00230472"/>
    <w:rsid w:val="00253DF6"/>
    <w:rsid w:val="00255F1E"/>
    <w:rsid w:val="00271451"/>
    <w:rsid w:val="0036503B"/>
    <w:rsid w:val="00382111"/>
    <w:rsid w:val="003D6D03"/>
    <w:rsid w:val="003E12CA"/>
    <w:rsid w:val="004010DC"/>
    <w:rsid w:val="00405C0E"/>
    <w:rsid w:val="004341F0"/>
    <w:rsid w:val="00456324"/>
    <w:rsid w:val="00460486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141FF"/>
    <w:rsid w:val="00645CFA"/>
    <w:rsid w:val="006877B8"/>
    <w:rsid w:val="006A29F8"/>
    <w:rsid w:val="006D5799"/>
    <w:rsid w:val="00701C31"/>
    <w:rsid w:val="007313A9"/>
    <w:rsid w:val="00750D83"/>
    <w:rsid w:val="00785DBC"/>
    <w:rsid w:val="00793DD5"/>
    <w:rsid w:val="007D286D"/>
    <w:rsid w:val="007D55F6"/>
    <w:rsid w:val="007F490F"/>
    <w:rsid w:val="0086779C"/>
    <w:rsid w:val="00874BFD"/>
    <w:rsid w:val="008964EF"/>
    <w:rsid w:val="008C70B2"/>
    <w:rsid w:val="00915E01"/>
    <w:rsid w:val="009631A4"/>
    <w:rsid w:val="00977296"/>
    <w:rsid w:val="009949F7"/>
    <w:rsid w:val="009A25B7"/>
    <w:rsid w:val="00A1065D"/>
    <w:rsid w:val="00A25E93"/>
    <w:rsid w:val="00A320FF"/>
    <w:rsid w:val="00A70AC0"/>
    <w:rsid w:val="00A84EA9"/>
    <w:rsid w:val="00AC443C"/>
    <w:rsid w:val="00AF06CF"/>
    <w:rsid w:val="00B0168F"/>
    <w:rsid w:val="00B11A55"/>
    <w:rsid w:val="00B17211"/>
    <w:rsid w:val="00B461B2"/>
    <w:rsid w:val="00B654B6"/>
    <w:rsid w:val="00B71B3C"/>
    <w:rsid w:val="00B80994"/>
    <w:rsid w:val="00B97C85"/>
    <w:rsid w:val="00BB3C8F"/>
    <w:rsid w:val="00BC389E"/>
    <w:rsid w:val="00BE1888"/>
    <w:rsid w:val="00BF0E5B"/>
    <w:rsid w:val="00BF6B81"/>
    <w:rsid w:val="00C077A8"/>
    <w:rsid w:val="00C14FF4"/>
    <w:rsid w:val="00C22B9E"/>
    <w:rsid w:val="00C32C8F"/>
    <w:rsid w:val="00C606A2"/>
    <w:rsid w:val="00C63872"/>
    <w:rsid w:val="00C84948"/>
    <w:rsid w:val="00CC3C9D"/>
    <w:rsid w:val="00CF1111"/>
    <w:rsid w:val="00D05706"/>
    <w:rsid w:val="00D25AF3"/>
    <w:rsid w:val="00D27DC5"/>
    <w:rsid w:val="00D340B6"/>
    <w:rsid w:val="00D40535"/>
    <w:rsid w:val="00D47E36"/>
    <w:rsid w:val="00DA212D"/>
    <w:rsid w:val="00E004C1"/>
    <w:rsid w:val="00E55D79"/>
    <w:rsid w:val="00E90585"/>
    <w:rsid w:val="00EB65C4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A25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spa-media/0opgo31b/eqhria-summary-of-results-for-suspension-from-duty-sop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ssi/2014/68/contents/made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3854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2024-09-05T11:06:00Z</dcterms:created>
  <dcterms:modified xsi:type="dcterms:W3CDTF">2024-09-05T12:17:00Z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