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36434885" w:rsidR="00B17211" w:rsidRDefault="00280B3B" w:rsidP="00540A52">
            <w:pPr>
              <w:pStyle w:val="Heading1"/>
              <w:spacing w:before="0" w:after="0" w:line="240" w:lineRule="auto"/>
            </w:pPr>
            <w:r>
              <w:t xml:space="preserve"> </w:t>
            </w:r>
            <w:r w:rsidR="007F490F">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67A4DC" w:rsidR="00B17211" w:rsidRPr="00B17211" w:rsidRDefault="00B17211" w:rsidP="007F490F">
            <w:r w:rsidRPr="007F490F">
              <w:rPr>
                <w:rStyle w:val="Heading2Char"/>
              </w:rPr>
              <w:t>Our reference:</w:t>
            </w:r>
            <w:r>
              <w:t xml:space="preserve">  FOI </w:t>
            </w:r>
            <w:r w:rsidR="005F4F7F">
              <w:t>25-0056</w:t>
            </w:r>
          </w:p>
          <w:p w14:paraId="34BDABA6" w14:textId="2D3F1A86" w:rsidR="00B17211" w:rsidRDefault="00456324" w:rsidP="00EE2373">
            <w:r w:rsidRPr="007F490F">
              <w:rPr>
                <w:rStyle w:val="Heading2Char"/>
              </w:rPr>
              <w:t>Respon</w:t>
            </w:r>
            <w:r w:rsidR="007D55F6">
              <w:rPr>
                <w:rStyle w:val="Heading2Char"/>
              </w:rPr>
              <w:t>ded to:</w:t>
            </w:r>
            <w:r w:rsidR="007F490F">
              <w:t xml:space="preserve">  </w:t>
            </w:r>
            <w:r w:rsidR="005F4F7F">
              <w:t>05 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959FC7" w14:textId="77777777" w:rsidR="006D2326" w:rsidRDefault="006D2326" w:rsidP="006D2326">
      <w:pPr>
        <w:pStyle w:val="Heading2"/>
      </w:pPr>
      <w:r w:rsidRPr="006D2326">
        <w:t xml:space="preserve">Number of antisocial incidents in Perth City Centre for the years 2020,2021,2022,2023,2024 </w:t>
      </w:r>
    </w:p>
    <w:p w14:paraId="40BE483B" w14:textId="78596A96" w:rsidR="00425D7D" w:rsidRDefault="00425D7D" w:rsidP="00425D7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506C838E" w14:textId="785D6D9F" w:rsidR="00425D7D" w:rsidRDefault="00425D7D" w:rsidP="00425D7D">
      <w:r>
        <w:t>By way of explanation there is no</w:t>
      </w:r>
      <w:r w:rsidR="0076454F">
        <w:t xml:space="preserve"> identifiable</w:t>
      </w:r>
      <w:r>
        <w:t xml:space="preserve"> police beat that specifically covers Perth city centre. Th</w:t>
      </w:r>
      <w:r w:rsidR="0076454F">
        <w:t>e</w:t>
      </w:r>
      <w:r>
        <w:t xml:space="preserve"> area is policed by several police beats</w:t>
      </w:r>
      <w:r w:rsidR="0076454F">
        <w:t>,</w:t>
      </w:r>
      <w:r>
        <w:t xml:space="preserve"> each of which also cover other areas. </w:t>
      </w:r>
      <w:r w:rsidR="0076454F">
        <w:t>As such,</w:t>
      </w:r>
      <w:r>
        <w:t xml:space="preserve"> the only way to collate the data requested would be to manually assess each individual record of anti-social behaviour incidents for relevance to Perth City centre. </w:t>
      </w:r>
    </w:p>
    <w:p w14:paraId="79ADCB6D" w14:textId="213AC271" w:rsidR="00D64B6B" w:rsidRDefault="00D64B6B" w:rsidP="00425D7D">
      <w:r>
        <w:t>Due to the large volume of incidents, this is clearly an exercise that would far exceed the cost threshold set out within the Act.</w:t>
      </w:r>
    </w:p>
    <w:p w14:paraId="36BE8FD7" w14:textId="14E4443C" w:rsidR="00D64B6B" w:rsidRPr="00425D7D" w:rsidRDefault="00D64B6B" w:rsidP="00425D7D">
      <w:r>
        <w:t>To be of assistance I have provided the number of antisocial behaviour incidents recorded by all Police beats which cover Perth City centre. Please note that this number includes incidents recorded in all areas of Perth so is not representative of the number of these incidents in your requested area.</w:t>
      </w:r>
    </w:p>
    <w:p w14:paraId="2D9D14F7" w14:textId="53614848" w:rsidR="00DF3911" w:rsidRDefault="00DF3911" w:rsidP="00DF3911">
      <w:r>
        <w:t xml:space="preserve">The table </w:t>
      </w:r>
      <w:r w:rsidR="00D64B6B">
        <w:t xml:space="preserve">1 </w:t>
      </w:r>
      <w:r>
        <w:t xml:space="preserve">below shows the number of antisocial behaviour incidents recorded </w:t>
      </w:r>
      <w:r w:rsidR="00D64B6B">
        <w:t>by various beats within Tayside division for the period 1</w:t>
      </w:r>
      <w:r w:rsidR="00D64B6B" w:rsidRPr="00D64B6B">
        <w:rPr>
          <w:vertAlign w:val="superscript"/>
        </w:rPr>
        <w:t>st</w:t>
      </w:r>
      <w:r w:rsidR="00D64B6B">
        <w:t xml:space="preserve"> January 2020 </w:t>
      </w:r>
      <w:r w:rsidR="0076454F">
        <w:t>to</w:t>
      </w:r>
      <w:r w:rsidR="00D64B6B">
        <w:t xml:space="preserve"> 31</w:t>
      </w:r>
      <w:r w:rsidR="00D64B6B" w:rsidRPr="00D64B6B">
        <w:rPr>
          <w:vertAlign w:val="superscript"/>
        </w:rPr>
        <w:t>st</w:t>
      </w:r>
      <w:r w:rsidR="00D64B6B">
        <w:t xml:space="preserve"> December 2024, broken down per year.</w:t>
      </w:r>
      <w:r w:rsidR="00AF5B6C">
        <w:t xml:space="preserve"> </w:t>
      </w:r>
    </w:p>
    <w:p w14:paraId="6BCB3F86" w14:textId="30361712" w:rsidR="00D64B6B" w:rsidRPr="00D64B6B" w:rsidRDefault="00D64B6B" w:rsidP="00DF3911">
      <w:pPr>
        <w:rPr>
          <w:u w:val="single"/>
        </w:rPr>
      </w:pPr>
      <w:r w:rsidRPr="00D64B6B">
        <w:rPr>
          <w:u w:val="single"/>
        </w:rPr>
        <w:t>Table 1</w:t>
      </w:r>
    </w:p>
    <w:tbl>
      <w:tblPr>
        <w:tblStyle w:val="TableGrid"/>
        <w:tblW w:w="0" w:type="auto"/>
        <w:tblLook w:val="04A0" w:firstRow="1" w:lastRow="0" w:firstColumn="1" w:lastColumn="0" w:noHBand="0" w:noVBand="1"/>
      </w:tblPr>
      <w:tblGrid>
        <w:gridCol w:w="1413"/>
        <w:gridCol w:w="4678"/>
      </w:tblGrid>
      <w:tr w:rsidR="00DF3911" w:rsidRPr="0076454F" w14:paraId="4AC31E85" w14:textId="77777777" w:rsidTr="0076454F">
        <w:trPr>
          <w:tblHeader/>
        </w:trPr>
        <w:tc>
          <w:tcPr>
            <w:tcW w:w="1413" w:type="dxa"/>
            <w:shd w:val="clear" w:color="auto" w:fill="D9D9D9" w:themeFill="background1" w:themeFillShade="D9"/>
          </w:tcPr>
          <w:p w14:paraId="5A56BB57" w14:textId="592471D2" w:rsidR="00DF3911" w:rsidRPr="0076454F" w:rsidRDefault="00DF3911" w:rsidP="0076454F">
            <w:pPr>
              <w:spacing w:line="240" w:lineRule="auto"/>
              <w:rPr>
                <w:b/>
                <w:bCs/>
              </w:rPr>
            </w:pPr>
            <w:r w:rsidRPr="0076454F">
              <w:rPr>
                <w:b/>
                <w:bCs/>
              </w:rPr>
              <w:t xml:space="preserve">Year </w:t>
            </w:r>
          </w:p>
        </w:tc>
        <w:tc>
          <w:tcPr>
            <w:tcW w:w="4678" w:type="dxa"/>
            <w:shd w:val="clear" w:color="auto" w:fill="D9D9D9" w:themeFill="background1" w:themeFillShade="D9"/>
          </w:tcPr>
          <w:p w14:paraId="4C5DEFBE" w14:textId="6F797C36" w:rsidR="00DF3911" w:rsidRPr="0076454F" w:rsidRDefault="00DF3911" w:rsidP="0076454F">
            <w:pPr>
              <w:spacing w:line="240" w:lineRule="auto"/>
              <w:rPr>
                <w:b/>
                <w:bCs/>
              </w:rPr>
            </w:pPr>
            <w:r w:rsidRPr="0076454F">
              <w:rPr>
                <w:b/>
                <w:bCs/>
              </w:rPr>
              <w:t>Number of anti-social incidents</w:t>
            </w:r>
          </w:p>
        </w:tc>
      </w:tr>
      <w:tr w:rsidR="00DF3911" w14:paraId="0F81ED0C" w14:textId="77777777" w:rsidTr="0076454F">
        <w:tc>
          <w:tcPr>
            <w:tcW w:w="1413" w:type="dxa"/>
          </w:tcPr>
          <w:p w14:paraId="3A76ADA2" w14:textId="1169FDCD" w:rsidR="00DF3911" w:rsidRDefault="00DF3911" w:rsidP="0076454F">
            <w:pPr>
              <w:spacing w:line="240" w:lineRule="auto"/>
            </w:pPr>
            <w:r>
              <w:t>2020</w:t>
            </w:r>
          </w:p>
        </w:tc>
        <w:tc>
          <w:tcPr>
            <w:tcW w:w="4678" w:type="dxa"/>
          </w:tcPr>
          <w:p w14:paraId="75EFE71B" w14:textId="4CD867D7" w:rsidR="00DF3911" w:rsidRDefault="00DF3911" w:rsidP="0076454F">
            <w:pPr>
              <w:spacing w:line="240" w:lineRule="auto"/>
            </w:pPr>
            <w:r>
              <w:t>4093</w:t>
            </w:r>
          </w:p>
        </w:tc>
      </w:tr>
      <w:tr w:rsidR="00DF3911" w14:paraId="0E118F7A" w14:textId="77777777" w:rsidTr="0076454F">
        <w:tc>
          <w:tcPr>
            <w:tcW w:w="1413" w:type="dxa"/>
          </w:tcPr>
          <w:p w14:paraId="066FB11E" w14:textId="7FA4A608" w:rsidR="00DF3911" w:rsidRDefault="00DF3911" w:rsidP="0076454F">
            <w:pPr>
              <w:spacing w:line="240" w:lineRule="auto"/>
            </w:pPr>
            <w:r>
              <w:t>2021</w:t>
            </w:r>
          </w:p>
        </w:tc>
        <w:tc>
          <w:tcPr>
            <w:tcW w:w="4678" w:type="dxa"/>
          </w:tcPr>
          <w:p w14:paraId="05EA7184" w14:textId="5CCDAC1B" w:rsidR="00DF3911" w:rsidRDefault="00DF3911" w:rsidP="0076454F">
            <w:pPr>
              <w:spacing w:line="240" w:lineRule="auto"/>
            </w:pPr>
            <w:r>
              <w:t>3287</w:t>
            </w:r>
          </w:p>
        </w:tc>
      </w:tr>
      <w:tr w:rsidR="00DF3911" w14:paraId="1FCA48D0" w14:textId="77777777" w:rsidTr="0076454F">
        <w:tc>
          <w:tcPr>
            <w:tcW w:w="1413" w:type="dxa"/>
          </w:tcPr>
          <w:p w14:paraId="52B9E97A" w14:textId="361E6DE1" w:rsidR="00DF3911" w:rsidRDefault="00DF3911" w:rsidP="0076454F">
            <w:pPr>
              <w:spacing w:line="240" w:lineRule="auto"/>
            </w:pPr>
            <w:r>
              <w:t>2022</w:t>
            </w:r>
          </w:p>
        </w:tc>
        <w:tc>
          <w:tcPr>
            <w:tcW w:w="4678" w:type="dxa"/>
          </w:tcPr>
          <w:p w14:paraId="413EC2F7" w14:textId="7D47117B" w:rsidR="00DF3911" w:rsidRDefault="00DF3911" w:rsidP="0076454F">
            <w:pPr>
              <w:spacing w:line="240" w:lineRule="auto"/>
            </w:pPr>
            <w:r>
              <w:t>2750</w:t>
            </w:r>
          </w:p>
        </w:tc>
      </w:tr>
      <w:tr w:rsidR="00DF3911" w14:paraId="05274983" w14:textId="77777777" w:rsidTr="0076454F">
        <w:tc>
          <w:tcPr>
            <w:tcW w:w="1413" w:type="dxa"/>
          </w:tcPr>
          <w:p w14:paraId="2E580731" w14:textId="7C6C9DC7" w:rsidR="00DF3911" w:rsidRDefault="00DF3911" w:rsidP="0076454F">
            <w:pPr>
              <w:spacing w:line="240" w:lineRule="auto"/>
            </w:pPr>
            <w:r>
              <w:lastRenderedPageBreak/>
              <w:t>2023</w:t>
            </w:r>
          </w:p>
        </w:tc>
        <w:tc>
          <w:tcPr>
            <w:tcW w:w="4678" w:type="dxa"/>
          </w:tcPr>
          <w:p w14:paraId="02189C0D" w14:textId="668F2650" w:rsidR="00DF3911" w:rsidRDefault="00DF3911" w:rsidP="0076454F">
            <w:pPr>
              <w:spacing w:line="240" w:lineRule="auto"/>
            </w:pPr>
            <w:r>
              <w:t>2615</w:t>
            </w:r>
          </w:p>
        </w:tc>
      </w:tr>
      <w:tr w:rsidR="00DF3911" w14:paraId="5110735C" w14:textId="77777777" w:rsidTr="0076454F">
        <w:tc>
          <w:tcPr>
            <w:tcW w:w="1413" w:type="dxa"/>
          </w:tcPr>
          <w:p w14:paraId="4F3BCF34" w14:textId="415E620A" w:rsidR="00DF3911" w:rsidRDefault="00DF3911" w:rsidP="0076454F">
            <w:pPr>
              <w:spacing w:line="240" w:lineRule="auto"/>
            </w:pPr>
            <w:r>
              <w:t>2024</w:t>
            </w:r>
          </w:p>
        </w:tc>
        <w:tc>
          <w:tcPr>
            <w:tcW w:w="4678" w:type="dxa"/>
          </w:tcPr>
          <w:p w14:paraId="4488D998" w14:textId="23F0488A" w:rsidR="00DF3911" w:rsidRDefault="00DF3911" w:rsidP="0076454F">
            <w:pPr>
              <w:spacing w:line="240" w:lineRule="auto"/>
            </w:pPr>
            <w:r>
              <w:t>2802</w:t>
            </w:r>
          </w:p>
        </w:tc>
      </w:tr>
    </w:tbl>
    <w:p w14:paraId="218D8CF8" w14:textId="00DBBFD0" w:rsidR="006D2326" w:rsidRPr="006D2326" w:rsidRDefault="0076454F" w:rsidP="0076454F">
      <w:r>
        <w:t xml:space="preserve">All statistics are provisional and should be treated as management information. </w:t>
      </w:r>
      <w:r>
        <w:br/>
        <w:t>Data was extracted from Police Scotland systems and are correct as at 27 January 2025.</w:t>
      </w:r>
      <w:r>
        <w:br/>
        <w:t>Data was extracted by searching for initial type codes relating to ASB incidents in STORM.</w:t>
      </w:r>
      <w:r>
        <w:br/>
        <w:t>Data was extracted using the incident's raised date and Initial Service codes CR-78 (Damage), AB-24 (Public nuisance), AB-28 (Disturbance), AB-53 (Noise), AB-55 (Drinking in public), AB-56 (Neighbour Dispute) and AB-57 (Communications).</w:t>
      </w:r>
      <w:r>
        <w:br/>
        <w:t>Specified areas have been selected using BeatID. The beats selected were W31, W32, W33, W34, W51, W64, W65, W352, W371, W372, W381 and W392 on the Incident, relates to the location Police Officers have been directed to attend.</w:t>
      </w:r>
      <w:r>
        <w:tab/>
      </w:r>
      <w:r>
        <w:br/>
        <w:t>Error and transferred incidents have been removed.</w:t>
      </w:r>
      <w:r>
        <w:tab/>
      </w:r>
      <w:r>
        <w:tab/>
      </w:r>
      <w:r>
        <w:tab/>
      </w:r>
      <w:r>
        <w:tab/>
      </w:r>
      <w:r>
        <w:tab/>
      </w:r>
      <w:r>
        <w:tab/>
      </w:r>
      <w:r>
        <w:tab/>
      </w:r>
      <w:r>
        <w:tab/>
      </w:r>
      <w:r>
        <w:tab/>
      </w:r>
      <w:r>
        <w:tab/>
      </w:r>
      <w:r>
        <w:tab/>
      </w:r>
      <w:r>
        <w:tab/>
      </w:r>
    </w:p>
    <w:p w14:paraId="571F3D14" w14:textId="77777777" w:rsidR="006D2326" w:rsidRDefault="006D2326" w:rsidP="006D2326">
      <w:pPr>
        <w:pStyle w:val="Heading2"/>
      </w:pPr>
      <w:r w:rsidRPr="006D2326">
        <w:t xml:space="preserve">Number of callouts for rural crime in Perth and Kinross for the years 2022,2023,2024 </w:t>
      </w:r>
    </w:p>
    <w:p w14:paraId="180045E6" w14:textId="5EADF52C" w:rsidR="00D64B6B" w:rsidRDefault="00D64B6B" w:rsidP="00543C2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Police Scotland </w:t>
      </w:r>
      <w:r w:rsidRPr="00D64B6B">
        <w:rPr>
          <w:rFonts w:eastAsiaTheme="majorEastAsia" w:cstheme="majorBidi"/>
          <w:bCs/>
          <w:color w:val="000000" w:themeColor="text1"/>
          <w:szCs w:val="26"/>
        </w:rPr>
        <w:t>do not have</w:t>
      </w:r>
      <w:r>
        <w:rPr>
          <w:rFonts w:eastAsiaTheme="majorEastAsia" w:cstheme="majorBidi"/>
          <w:bCs/>
          <w:color w:val="000000" w:themeColor="text1"/>
          <w:szCs w:val="26"/>
        </w:rPr>
        <w:t xml:space="preserve"> an</w:t>
      </w:r>
      <w:r w:rsidRPr="00D64B6B">
        <w:rPr>
          <w:rFonts w:eastAsiaTheme="majorEastAsia" w:cstheme="majorBidi"/>
          <w:bCs/>
          <w:color w:val="000000" w:themeColor="text1"/>
          <w:szCs w:val="26"/>
        </w:rPr>
        <w:t xml:space="preserve"> incident classification for rural crimes</w:t>
      </w:r>
      <w:r w:rsidR="0076454F" w:rsidRPr="0076454F">
        <w:rPr>
          <w:rFonts w:eastAsiaTheme="majorEastAsia" w:cstheme="majorBidi"/>
          <w:bCs/>
          <w:color w:val="000000" w:themeColor="text1"/>
          <w:szCs w:val="26"/>
        </w:rPr>
        <w:t xml:space="preserve"> </w:t>
      </w:r>
      <w:r w:rsidR="0076454F">
        <w:rPr>
          <w:rFonts w:eastAsiaTheme="majorEastAsia" w:cstheme="majorBidi"/>
          <w:bCs/>
          <w:color w:val="000000" w:themeColor="text1"/>
          <w:szCs w:val="26"/>
        </w:rPr>
        <w:t>and section 17 of the Act therefore applies.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p>
    <w:p w14:paraId="794C9365" w14:textId="77777777" w:rsidR="0076454F" w:rsidRPr="00543C20" w:rsidRDefault="0076454F" w:rsidP="00543C20">
      <w:pPr>
        <w:tabs>
          <w:tab w:val="left" w:pos="5400"/>
        </w:tabs>
        <w:rPr>
          <w:rFonts w:eastAsiaTheme="majorEastAsia" w:cstheme="majorBidi"/>
          <w:bCs/>
          <w:color w:val="000000" w:themeColor="text1"/>
          <w:szCs w:val="26"/>
        </w:rPr>
      </w:pPr>
    </w:p>
    <w:p w14:paraId="64771369" w14:textId="54EE064B" w:rsidR="006D2326" w:rsidRDefault="006D2326" w:rsidP="006D2326">
      <w:pPr>
        <w:pStyle w:val="Heading2"/>
      </w:pPr>
      <w:r w:rsidRPr="006D2326">
        <w:t>Number of non-</w:t>
      </w:r>
      <w:r w:rsidR="005F4F7F" w:rsidRPr="006D2326">
        <w:t>crimes</w:t>
      </w:r>
      <w:r w:rsidRPr="006D2326">
        <w:t xml:space="preserve"> hate incidents reported to Police Scotland Tayside in 2024 </w:t>
      </w:r>
    </w:p>
    <w:p w14:paraId="59CA6970" w14:textId="6C2431AA" w:rsidR="005F4F7F" w:rsidRDefault="0076454F" w:rsidP="005F4F7F">
      <w:pPr>
        <w:rPr>
          <w:color w:val="000000" w:themeColor="text1"/>
        </w:rPr>
      </w:pPr>
      <w:r>
        <w:rPr>
          <w:color w:val="000000" w:themeColor="text1"/>
        </w:rPr>
        <w:t>T</w:t>
      </w:r>
      <w:r w:rsidR="00543C20" w:rsidRPr="005F4F7F">
        <w:rPr>
          <w:color w:val="000000" w:themeColor="text1"/>
        </w:rPr>
        <w:t xml:space="preserve">here were </w:t>
      </w:r>
      <w:r w:rsidR="005F4F7F" w:rsidRPr="005F4F7F">
        <w:rPr>
          <w:color w:val="000000" w:themeColor="text1"/>
        </w:rPr>
        <w:t xml:space="preserve">47 </w:t>
      </w:r>
      <w:r w:rsidR="00543C20" w:rsidRPr="005F4F7F">
        <w:rPr>
          <w:color w:val="000000" w:themeColor="text1"/>
        </w:rPr>
        <w:t>non</w:t>
      </w:r>
      <w:r>
        <w:rPr>
          <w:color w:val="000000" w:themeColor="text1"/>
        </w:rPr>
        <w:t>-</w:t>
      </w:r>
      <w:r w:rsidRPr="005F4F7F">
        <w:rPr>
          <w:color w:val="000000" w:themeColor="text1"/>
        </w:rPr>
        <w:t xml:space="preserve">crime </w:t>
      </w:r>
      <w:r w:rsidR="00543C20" w:rsidRPr="005F4F7F">
        <w:rPr>
          <w:color w:val="000000" w:themeColor="text1"/>
        </w:rPr>
        <w:t xml:space="preserve">hate incidents reported </w:t>
      </w:r>
      <w:r>
        <w:rPr>
          <w:color w:val="000000" w:themeColor="text1"/>
        </w:rPr>
        <w:t>in Tayside division</w:t>
      </w:r>
      <w:r w:rsidR="005F4F7F" w:rsidRPr="005F4F7F">
        <w:rPr>
          <w:color w:val="000000" w:themeColor="text1"/>
        </w:rPr>
        <w:t xml:space="preserve"> within 2024</w:t>
      </w:r>
      <w:r>
        <w:rPr>
          <w:color w:val="000000" w:themeColor="text1"/>
        </w:rPr>
        <w:t>.</w:t>
      </w:r>
    </w:p>
    <w:p w14:paraId="124B1CD6" w14:textId="5C06EBBF" w:rsidR="0076454F" w:rsidRPr="005F4F7F" w:rsidRDefault="0076454F" w:rsidP="0076454F">
      <w:pPr>
        <w:rPr>
          <w:color w:val="000000" w:themeColor="text1"/>
        </w:rPr>
      </w:pPr>
      <w:r w:rsidRPr="0076454F">
        <w:rPr>
          <w:color w:val="000000" w:themeColor="text1"/>
        </w:rPr>
        <w:t xml:space="preserve">All statistics are provisional and should be treated as management information. </w:t>
      </w:r>
      <w:r>
        <w:rPr>
          <w:color w:val="000000" w:themeColor="text1"/>
        </w:rPr>
        <w:br/>
        <w:t xml:space="preserve">Data was </w:t>
      </w:r>
      <w:r w:rsidRPr="0076454F">
        <w:rPr>
          <w:color w:val="000000" w:themeColor="text1"/>
        </w:rPr>
        <w:t>extracted from Police Scotland systems and are correct as at 27 January 2025.</w:t>
      </w:r>
      <w:r>
        <w:rPr>
          <w:color w:val="000000" w:themeColor="text1"/>
        </w:rPr>
        <w:br/>
        <w:t>Records were</w:t>
      </w:r>
      <w:r w:rsidRPr="0076454F">
        <w:rPr>
          <w:color w:val="000000" w:themeColor="text1"/>
        </w:rPr>
        <w:t xml:space="preserve"> extracted from the Interim Vulnerable Persons Database (iVPD)</w:t>
      </w:r>
      <w:r>
        <w:rPr>
          <w:color w:val="000000" w:themeColor="text1"/>
        </w:rPr>
        <w:t xml:space="preserve"> </w:t>
      </w:r>
      <w:r w:rsidRPr="0076454F">
        <w:rPr>
          <w:color w:val="000000" w:themeColor="text1"/>
        </w:rPr>
        <w:t>where ‘Crime Occurred’ equals ‘No’</w:t>
      </w:r>
      <w:r>
        <w:rPr>
          <w:color w:val="000000" w:themeColor="text1"/>
        </w:rPr>
        <w:t xml:space="preserve"> and </w:t>
      </w:r>
      <w:r w:rsidRPr="0076454F">
        <w:rPr>
          <w:color w:val="000000" w:themeColor="text1"/>
        </w:rPr>
        <w:t>using the ‘incident created’.</w:t>
      </w:r>
      <w:r w:rsidRPr="0076454F">
        <w:rPr>
          <w:color w:val="000000" w:themeColor="text1"/>
        </w:rPr>
        <w:tab/>
      </w:r>
      <w:r w:rsidRPr="0076454F">
        <w:rPr>
          <w:color w:val="000000" w:themeColor="text1"/>
        </w:rPr>
        <w:tab/>
      </w:r>
      <w:r>
        <w:rPr>
          <w:color w:val="000000" w:themeColor="text1"/>
        </w:rPr>
        <w:br/>
        <w:t>E</w:t>
      </w:r>
      <w:r w:rsidRPr="0076454F">
        <w:rPr>
          <w:color w:val="000000" w:themeColor="text1"/>
        </w:rPr>
        <w:t>ach record will need to be read to confirm the circumstances.</w:t>
      </w:r>
      <w:r>
        <w:rPr>
          <w:color w:val="000000" w:themeColor="text1"/>
        </w:rPr>
        <w:br/>
      </w:r>
      <w:r w:rsidRPr="0076454F">
        <w:rPr>
          <w:color w:val="000000" w:themeColor="text1"/>
        </w:rPr>
        <w:t xml:space="preserve">Please note that these data are collated from the Police Scotland iVPD system, which has an automated </w:t>
      </w:r>
      <w:hyperlink r:id="rId11" w:history="1">
        <w:r w:rsidRPr="00280B3B">
          <w:rPr>
            <w:rStyle w:val="Hyperlink"/>
          </w:rPr>
          <w:t>weeding and retention policy</w:t>
        </w:r>
      </w:hyperlink>
      <w:r w:rsidRPr="0076454F">
        <w:rPr>
          <w:color w:val="000000" w:themeColor="text1"/>
        </w:rPr>
        <w:t xml:space="preserve"> built </w:t>
      </w:r>
      <w:r>
        <w:rPr>
          <w:color w:val="000000" w:themeColor="text1"/>
        </w:rPr>
        <w:t>in</w:t>
      </w:r>
      <w:r w:rsidRPr="0076454F">
        <w:rPr>
          <w:color w:val="000000" w:themeColor="text1"/>
        </w:rPr>
        <w:t xml:space="preserve">. </w:t>
      </w:r>
    </w:p>
    <w:p w14:paraId="4730999B" w14:textId="68713350" w:rsidR="006D2326" w:rsidRPr="005F4F7F" w:rsidRDefault="006D2326" w:rsidP="005F4F7F">
      <w:pPr>
        <w:pStyle w:val="Heading2"/>
        <w:rPr>
          <w:color w:val="FF0000"/>
        </w:rPr>
      </w:pPr>
      <w:r w:rsidRPr="006D2326">
        <w:lastRenderedPageBreak/>
        <w:t xml:space="preserve">Number of callouts for incidents directly relating to farmers and smallholders – years 2010-2024 </w:t>
      </w:r>
    </w:p>
    <w:p w14:paraId="011B1E4D" w14:textId="3B3E2E60" w:rsidR="00D64B6B" w:rsidRDefault="00D64B6B" w:rsidP="00D64B6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Police Scotland </w:t>
      </w:r>
      <w:r w:rsidRPr="00D64B6B">
        <w:rPr>
          <w:rFonts w:eastAsiaTheme="majorEastAsia" w:cstheme="majorBidi"/>
          <w:bCs/>
          <w:color w:val="000000" w:themeColor="text1"/>
          <w:szCs w:val="26"/>
        </w:rPr>
        <w:t>do not have</w:t>
      </w:r>
      <w:r>
        <w:rPr>
          <w:rFonts w:eastAsiaTheme="majorEastAsia" w:cstheme="majorBidi"/>
          <w:bCs/>
          <w:color w:val="000000" w:themeColor="text1"/>
          <w:szCs w:val="26"/>
        </w:rPr>
        <w:t xml:space="preserve"> an</w:t>
      </w:r>
      <w:r w:rsidRPr="00D64B6B">
        <w:rPr>
          <w:rFonts w:eastAsiaTheme="majorEastAsia" w:cstheme="majorBidi"/>
          <w:bCs/>
          <w:color w:val="000000" w:themeColor="text1"/>
          <w:szCs w:val="26"/>
        </w:rPr>
        <w:t xml:space="preserve"> incident classification </w:t>
      </w:r>
      <w:r w:rsidR="00543C20">
        <w:rPr>
          <w:rFonts w:eastAsiaTheme="majorEastAsia" w:cstheme="majorBidi"/>
          <w:bCs/>
          <w:color w:val="000000" w:themeColor="text1"/>
          <w:szCs w:val="26"/>
        </w:rPr>
        <w:t>relating to farmers or smallholdings</w:t>
      </w:r>
      <w:r w:rsidR="0076454F" w:rsidRPr="0076454F">
        <w:rPr>
          <w:rFonts w:eastAsiaTheme="majorEastAsia" w:cstheme="majorBidi"/>
          <w:bCs/>
          <w:color w:val="000000" w:themeColor="text1"/>
          <w:szCs w:val="26"/>
        </w:rPr>
        <w:t xml:space="preserve"> </w:t>
      </w:r>
      <w:r w:rsidR="0076454F">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r w:rsidR="0076454F">
        <w:rPr>
          <w:rFonts w:eastAsiaTheme="majorEastAsia" w:cstheme="majorBidi"/>
          <w:bCs/>
          <w:color w:val="000000" w:themeColor="text1"/>
          <w:szCs w:val="26"/>
        </w:rPr>
        <w:t xml:space="preserve"> The in</w:t>
      </w:r>
      <w:r>
        <w:rPr>
          <w:rFonts w:eastAsiaTheme="majorEastAsia" w:cstheme="majorBidi"/>
          <w:bCs/>
          <w:color w:val="000000" w:themeColor="text1"/>
          <w:szCs w:val="26"/>
        </w:rPr>
        <w:t xml:space="preserve">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5297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772C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F89E4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5DE7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842D3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AABB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B3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E51C7"/>
    <w:multiLevelType w:val="hybridMultilevel"/>
    <w:tmpl w:val="FFA04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1896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3CA"/>
    <w:rsid w:val="000220BB"/>
    <w:rsid w:val="00090F3B"/>
    <w:rsid w:val="000C316A"/>
    <w:rsid w:val="000E2F19"/>
    <w:rsid w:val="000E6526"/>
    <w:rsid w:val="00141533"/>
    <w:rsid w:val="001576DD"/>
    <w:rsid w:val="00167528"/>
    <w:rsid w:val="00195CC4"/>
    <w:rsid w:val="00201727"/>
    <w:rsid w:val="00207326"/>
    <w:rsid w:val="00253DF6"/>
    <w:rsid w:val="00255F1E"/>
    <w:rsid w:val="00280B3B"/>
    <w:rsid w:val="00287D03"/>
    <w:rsid w:val="002B7114"/>
    <w:rsid w:val="00332319"/>
    <w:rsid w:val="0036503B"/>
    <w:rsid w:val="003D6D03"/>
    <w:rsid w:val="003E12CA"/>
    <w:rsid w:val="004010DC"/>
    <w:rsid w:val="00425D7D"/>
    <w:rsid w:val="004341F0"/>
    <w:rsid w:val="00456324"/>
    <w:rsid w:val="00464084"/>
    <w:rsid w:val="00475460"/>
    <w:rsid w:val="00490317"/>
    <w:rsid w:val="00491644"/>
    <w:rsid w:val="00496A08"/>
    <w:rsid w:val="004E1605"/>
    <w:rsid w:val="004F653C"/>
    <w:rsid w:val="004F6BC1"/>
    <w:rsid w:val="00540A52"/>
    <w:rsid w:val="00543C20"/>
    <w:rsid w:val="00557306"/>
    <w:rsid w:val="0059321B"/>
    <w:rsid w:val="005F10F6"/>
    <w:rsid w:val="005F4F7F"/>
    <w:rsid w:val="0060183F"/>
    <w:rsid w:val="00645CFA"/>
    <w:rsid w:val="00657A5E"/>
    <w:rsid w:val="006663D6"/>
    <w:rsid w:val="006D2326"/>
    <w:rsid w:val="006D5799"/>
    <w:rsid w:val="00743BB0"/>
    <w:rsid w:val="00750D83"/>
    <w:rsid w:val="00752ED6"/>
    <w:rsid w:val="0076454F"/>
    <w:rsid w:val="00785DBC"/>
    <w:rsid w:val="00793DD5"/>
    <w:rsid w:val="007D55F6"/>
    <w:rsid w:val="007F490F"/>
    <w:rsid w:val="0080345C"/>
    <w:rsid w:val="008060E5"/>
    <w:rsid w:val="0086779C"/>
    <w:rsid w:val="00874BFD"/>
    <w:rsid w:val="008964EF"/>
    <w:rsid w:val="00906245"/>
    <w:rsid w:val="00915E01"/>
    <w:rsid w:val="009631A4"/>
    <w:rsid w:val="00977296"/>
    <w:rsid w:val="00982382"/>
    <w:rsid w:val="00A061E3"/>
    <w:rsid w:val="00A25E93"/>
    <w:rsid w:val="00A320FF"/>
    <w:rsid w:val="00A70AC0"/>
    <w:rsid w:val="00A725F0"/>
    <w:rsid w:val="00A84EA9"/>
    <w:rsid w:val="00AC443C"/>
    <w:rsid w:val="00AE741E"/>
    <w:rsid w:val="00AF5B6C"/>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4B6B"/>
    <w:rsid w:val="00D7784F"/>
    <w:rsid w:val="00DA2748"/>
    <w:rsid w:val="00DF3911"/>
    <w:rsid w:val="00E55D79"/>
    <w:rsid w:val="00EE2373"/>
    <w:rsid w:val="00EF4761"/>
    <w:rsid w:val="00EF6523"/>
    <w:rsid w:val="00F21D44"/>
    <w:rsid w:val="00F551E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8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3242">
      <w:bodyDiv w:val="1"/>
      <w:marLeft w:val="0"/>
      <w:marRight w:val="0"/>
      <w:marTop w:val="0"/>
      <w:marBottom w:val="0"/>
      <w:divBdr>
        <w:top w:val="none" w:sz="0" w:space="0" w:color="auto"/>
        <w:left w:val="none" w:sz="0" w:space="0" w:color="auto"/>
        <w:bottom w:val="none" w:sz="0" w:space="0" w:color="auto"/>
        <w:right w:val="none" w:sz="0" w:space="0" w:color="auto"/>
      </w:divBdr>
    </w:div>
    <w:div w:id="801729499">
      <w:bodyDiv w:val="1"/>
      <w:marLeft w:val="0"/>
      <w:marRight w:val="0"/>
      <w:marTop w:val="0"/>
      <w:marBottom w:val="0"/>
      <w:divBdr>
        <w:top w:val="none" w:sz="0" w:space="0" w:color="auto"/>
        <w:left w:val="none" w:sz="0" w:space="0" w:color="auto"/>
        <w:bottom w:val="none" w:sz="0" w:space="0" w:color="auto"/>
        <w:right w:val="none" w:sz="0" w:space="0" w:color="auto"/>
      </w:divBdr>
    </w:div>
    <w:div w:id="1172524391">
      <w:bodyDiv w:val="1"/>
      <w:marLeft w:val="0"/>
      <w:marRight w:val="0"/>
      <w:marTop w:val="0"/>
      <w:marBottom w:val="0"/>
      <w:divBdr>
        <w:top w:val="none" w:sz="0" w:space="0" w:color="auto"/>
        <w:left w:val="none" w:sz="0" w:space="0" w:color="auto"/>
        <w:bottom w:val="none" w:sz="0" w:space="0" w:color="auto"/>
        <w:right w:val="none" w:sz="0" w:space="0" w:color="auto"/>
      </w:divBdr>
    </w:div>
    <w:div w:id="14632309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4185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2025-02-05T16:23:00Z</dcterms:created>
  <dcterms:modified xsi:type="dcterms:W3CDTF">2025-02-05T16:25:00Z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