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8A7971E" w:rsidR="00B17211" w:rsidRPr="00B17211" w:rsidRDefault="00B17211" w:rsidP="007F490F">
            <w:r w:rsidRPr="007F490F">
              <w:rPr>
                <w:rStyle w:val="Heading2Char"/>
              </w:rPr>
              <w:t>Our reference:</w:t>
            </w:r>
            <w:r>
              <w:t xml:space="preserve">  FOI 2</w:t>
            </w:r>
            <w:r w:rsidR="00B654B6">
              <w:t>4</w:t>
            </w:r>
            <w:r>
              <w:t>-</w:t>
            </w:r>
            <w:r w:rsidR="00C362E0">
              <w:t>2353</w:t>
            </w:r>
          </w:p>
          <w:p w14:paraId="34BDABA6" w14:textId="2B1067D9" w:rsidR="00B17211" w:rsidRDefault="00456324" w:rsidP="00EE2373">
            <w:r w:rsidRPr="007F490F">
              <w:rPr>
                <w:rStyle w:val="Heading2Char"/>
              </w:rPr>
              <w:t>Respon</w:t>
            </w:r>
            <w:r w:rsidR="007D55F6">
              <w:rPr>
                <w:rStyle w:val="Heading2Char"/>
              </w:rPr>
              <w:t>ded to:</w:t>
            </w:r>
            <w:r w:rsidR="007F490F">
              <w:t xml:space="preserve">  </w:t>
            </w:r>
            <w:r w:rsidR="00BE33DD">
              <w:t>10</w:t>
            </w:r>
            <w:r w:rsidR="006D5799">
              <w:t xml:space="preserve"> </w:t>
            </w:r>
            <w:r w:rsidR="002B7893">
              <w:t>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E2EF63B" w14:textId="77777777" w:rsidR="00C362E0" w:rsidRPr="00C362E0" w:rsidRDefault="00C362E0" w:rsidP="00C362E0">
      <w:pPr>
        <w:tabs>
          <w:tab w:val="left" w:pos="5400"/>
        </w:tabs>
        <w:rPr>
          <w:rFonts w:eastAsiaTheme="majorEastAsia" w:cstheme="majorBidi"/>
          <w:b/>
          <w:color w:val="000000" w:themeColor="text1"/>
          <w:szCs w:val="26"/>
        </w:rPr>
      </w:pPr>
      <w:r w:rsidRPr="00C362E0">
        <w:rPr>
          <w:rFonts w:eastAsiaTheme="majorEastAsia" w:cstheme="majorBidi"/>
          <w:b/>
          <w:color w:val="000000" w:themeColor="text1"/>
          <w:szCs w:val="26"/>
        </w:rPr>
        <w:t>The £290,000 maintenance backlog at Ferguslie Park Police Station including:</w:t>
      </w:r>
    </w:p>
    <w:p w14:paraId="34BDABAA" w14:textId="2E1464CC" w:rsidR="00496A08" w:rsidRDefault="00C362E0" w:rsidP="00C362E0">
      <w:pPr>
        <w:tabs>
          <w:tab w:val="left" w:pos="5400"/>
        </w:tabs>
        <w:rPr>
          <w:rFonts w:eastAsiaTheme="majorEastAsia" w:cstheme="majorBidi"/>
          <w:b/>
          <w:color w:val="000000" w:themeColor="text1"/>
          <w:szCs w:val="26"/>
        </w:rPr>
      </w:pPr>
      <w:r w:rsidRPr="00C362E0">
        <w:rPr>
          <w:rFonts w:eastAsiaTheme="majorEastAsia" w:cstheme="majorBidi"/>
          <w:b/>
          <w:color w:val="000000" w:themeColor="text1"/>
          <w:szCs w:val="26"/>
        </w:rPr>
        <w:t xml:space="preserve">A breakdown of the individual costs that total to the £296,000 figure </w:t>
      </w:r>
    </w:p>
    <w:p w14:paraId="4A98DD91" w14:textId="476133CE" w:rsidR="008718BB" w:rsidRDefault="008718BB" w:rsidP="008718BB">
      <w:r>
        <w:t>Please see two tables below which show the breakdown of total Revenue and Capital costs related to the £290,000.00 maintenance backlog as requested.</w:t>
      </w:r>
    </w:p>
    <w:tbl>
      <w:tblPr>
        <w:tblStyle w:val="TableGrid"/>
        <w:tblW w:w="9067" w:type="dxa"/>
        <w:tblLook w:val="04A0" w:firstRow="1" w:lastRow="0" w:firstColumn="1" w:lastColumn="0" w:noHBand="0" w:noVBand="1"/>
        <w:tblCaption w:val="Revenue costs for £290,000.00 maintenance backlog at Ferguslie Park Police Station "/>
        <w:tblDescription w:val="Revenue costs for £290,000.00 maintenance backlog at Ferguslie Park Police Station"/>
      </w:tblPr>
      <w:tblGrid>
        <w:gridCol w:w="6232"/>
        <w:gridCol w:w="2835"/>
      </w:tblGrid>
      <w:tr w:rsidR="00C362E0" w:rsidRPr="00557306" w14:paraId="26D223FF" w14:textId="77777777" w:rsidTr="00C362E0">
        <w:trPr>
          <w:tblHeader/>
        </w:trPr>
        <w:tc>
          <w:tcPr>
            <w:tcW w:w="6232" w:type="dxa"/>
            <w:shd w:val="clear" w:color="auto" w:fill="D9D9D9" w:themeFill="background1" w:themeFillShade="D9"/>
          </w:tcPr>
          <w:p w14:paraId="61C73484" w14:textId="49D0BC44" w:rsidR="00C362E0" w:rsidRPr="00557306" w:rsidRDefault="00C362E0" w:rsidP="00EF5DB0">
            <w:pPr>
              <w:spacing w:line="276" w:lineRule="auto"/>
              <w:rPr>
                <w:b/>
              </w:rPr>
            </w:pPr>
            <w:bookmarkStart w:id="0" w:name="_Hlk179361515"/>
            <w:bookmarkStart w:id="1" w:name="_Hlk179361526"/>
            <w:r>
              <w:rPr>
                <w:b/>
              </w:rPr>
              <w:t>Element</w:t>
            </w:r>
          </w:p>
        </w:tc>
        <w:tc>
          <w:tcPr>
            <w:tcW w:w="2835" w:type="dxa"/>
            <w:shd w:val="clear" w:color="auto" w:fill="D9D9D9" w:themeFill="background1" w:themeFillShade="D9"/>
          </w:tcPr>
          <w:p w14:paraId="3236A291" w14:textId="257026B7" w:rsidR="00C362E0" w:rsidRPr="00C362E0" w:rsidRDefault="00C362E0" w:rsidP="00C362E0">
            <w:pPr>
              <w:rPr>
                <w:b/>
                <w:bCs/>
              </w:rPr>
            </w:pPr>
            <w:r w:rsidRPr="00C362E0">
              <w:rPr>
                <w:b/>
                <w:bCs/>
                <w:lang w:eastAsia="en-GB"/>
              </w:rPr>
              <w:t>Ferguslie Park (Police Station)</w:t>
            </w:r>
          </w:p>
        </w:tc>
      </w:tr>
      <w:bookmarkEnd w:id="0"/>
      <w:tr w:rsidR="00C362E0" w14:paraId="5B9D0B74" w14:textId="77777777" w:rsidTr="00C362E0">
        <w:tc>
          <w:tcPr>
            <w:tcW w:w="6232" w:type="dxa"/>
          </w:tcPr>
          <w:p w14:paraId="66BBABE6" w14:textId="35ADC415" w:rsidR="00C362E0" w:rsidRDefault="00C362E0" w:rsidP="00EF5DB0">
            <w:pPr>
              <w:tabs>
                <w:tab w:val="left" w:pos="5400"/>
              </w:tabs>
              <w:spacing w:line="276" w:lineRule="auto"/>
            </w:pPr>
            <w:r w:rsidRPr="00C362E0">
              <w:t>Roof Coverings (incl. glazed roof lights)</w:t>
            </w:r>
          </w:p>
        </w:tc>
        <w:tc>
          <w:tcPr>
            <w:tcW w:w="2835" w:type="dxa"/>
          </w:tcPr>
          <w:p w14:paraId="48BE9495" w14:textId="11FA0670" w:rsidR="00C362E0" w:rsidRDefault="00C362E0" w:rsidP="00EF5DB0">
            <w:pPr>
              <w:tabs>
                <w:tab w:val="left" w:pos="5400"/>
              </w:tabs>
              <w:spacing w:line="276" w:lineRule="auto"/>
            </w:pPr>
            <w:r>
              <w:t>£17,000.00</w:t>
            </w:r>
          </w:p>
        </w:tc>
      </w:tr>
      <w:bookmarkEnd w:id="1"/>
      <w:tr w:rsidR="00C362E0" w14:paraId="78653639" w14:textId="77777777" w:rsidTr="00C362E0">
        <w:tc>
          <w:tcPr>
            <w:tcW w:w="6232" w:type="dxa"/>
          </w:tcPr>
          <w:p w14:paraId="6DCEF9ED" w14:textId="22BA5D5A" w:rsidR="00C362E0" w:rsidRPr="00C362E0" w:rsidRDefault="00C362E0" w:rsidP="00EF5DB0">
            <w:pPr>
              <w:tabs>
                <w:tab w:val="left" w:pos="5400"/>
              </w:tabs>
              <w:spacing w:line="276" w:lineRule="auto"/>
            </w:pPr>
            <w:r w:rsidRPr="00C362E0">
              <w:t>Roof Drainage (incl. rainwater goods and pipes)</w:t>
            </w:r>
          </w:p>
        </w:tc>
        <w:tc>
          <w:tcPr>
            <w:tcW w:w="2835" w:type="dxa"/>
          </w:tcPr>
          <w:p w14:paraId="3856E392" w14:textId="63F940C9" w:rsidR="00C362E0" w:rsidRDefault="00C362E0" w:rsidP="00EF5DB0">
            <w:pPr>
              <w:tabs>
                <w:tab w:val="left" w:pos="5400"/>
              </w:tabs>
              <w:spacing w:line="276" w:lineRule="auto"/>
            </w:pPr>
            <w:r>
              <w:t>£6000.00</w:t>
            </w:r>
          </w:p>
        </w:tc>
      </w:tr>
      <w:tr w:rsidR="00C362E0" w14:paraId="0064482C" w14:textId="77777777" w:rsidTr="00C362E0">
        <w:tc>
          <w:tcPr>
            <w:tcW w:w="6232" w:type="dxa"/>
          </w:tcPr>
          <w:p w14:paraId="2252FAC6" w14:textId="32B0A712" w:rsidR="00C362E0" w:rsidRPr="00C362E0" w:rsidRDefault="00C362E0" w:rsidP="00EF5DB0">
            <w:pPr>
              <w:tabs>
                <w:tab w:val="left" w:pos="5400"/>
              </w:tabs>
              <w:spacing w:line="276" w:lineRule="auto"/>
            </w:pPr>
            <w:r>
              <w:t>Floor Finishes</w:t>
            </w:r>
          </w:p>
        </w:tc>
        <w:tc>
          <w:tcPr>
            <w:tcW w:w="2835" w:type="dxa"/>
          </w:tcPr>
          <w:p w14:paraId="646B3886" w14:textId="058313D7" w:rsidR="00C362E0" w:rsidRDefault="00C362E0" w:rsidP="00EF5DB0">
            <w:pPr>
              <w:tabs>
                <w:tab w:val="left" w:pos="5400"/>
              </w:tabs>
              <w:spacing w:line="276" w:lineRule="auto"/>
            </w:pPr>
            <w:r>
              <w:t>£15,000.00</w:t>
            </w:r>
          </w:p>
        </w:tc>
      </w:tr>
      <w:tr w:rsidR="00C362E0" w14:paraId="001803FA" w14:textId="77777777" w:rsidTr="00C362E0">
        <w:tc>
          <w:tcPr>
            <w:tcW w:w="6232" w:type="dxa"/>
          </w:tcPr>
          <w:p w14:paraId="32E3216B" w14:textId="32A57D51" w:rsidR="00C362E0" w:rsidRDefault="00C362E0" w:rsidP="00EF5DB0">
            <w:pPr>
              <w:tabs>
                <w:tab w:val="left" w:pos="5400"/>
              </w:tabs>
              <w:spacing w:line="276" w:lineRule="auto"/>
            </w:pPr>
            <w:r w:rsidRPr="00C362E0">
              <w:t>Demountable suspended ceilings</w:t>
            </w:r>
          </w:p>
        </w:tc>
        <w:tc>
          <w:tcPr>
            <w:tcW w:w="2835" w:type="dxa"/>
          </w:tcPr>
          <w:p w14:paraId="4E85DA64" w14:textId="46E4E9D0" w:rsidR="00C362E0" w:rsidRDefault="00C362E0" w:rsidP="00EF5DB0">
            <w:pPr>
              <w:tabs>
                <w:tab w:val="left" w:pos="5400"/>
              </w:tabs>
              <w:spacing w:line="276" w:lineRule="auto"/>
            </w:pPr>
            <w:r>
              <w:t>£20,000.00</w:t>
            </w:r>
          </w:p>
        </w:tc>
      </w:tr>
      <w:tr w:rsidR="00C362E0" w14:paraId="396AAE65" w14:textId="77777777" w:rsidTr="00C362E0">
        <w:tc>
          <w:tcPr>
            <w:tcW w:w="6232" w:type="dxa"/>
          </w:tcPr>
          <w:p w14:paraId="644F4E80" w14:textId="4CABD7D3" w:rsidR="00C362E0" w:rsidRPr="00C362E0" w:rsidRDefault="00C362E0" w:rsidP="00EF5DB0">
            <w:pPr>
              <w:tabs>
                <w:tab w:val="left" w:pos="5400"/>
              </w:tabs>
              <w:spacing w:line="276" w:lineRule="auto"/>
            </w:pPr>
            <w:r>
              <w:t>External Wall linings/finishes</w:t>
            </w:r>
          </w:p>
        </w:tc>
        <w:tc>
          <w:tcPr>
            <w:tcW w:w="2835" w:type="dxa"/>
          </w:tcPr>
          <w:p w14:paraId="51836947" w14:textId="454282B3" w:rsidR="00C362E0" w:rsidRDefault="00C362E0" w:rsidP="00EF5DB0">
            <w:pPr>
              <w:tabs>
                <w:tab w:val="left" w:pos="5400"/>
              </w:tabs>
              <w:spacing w:line="276" w:lineRule="auto"/>
            </w:pPr>
            <w:r>
              <w:t>£25,000.00</w:t>
            </w:r>
          </w:p>
        </w:tc>
      </w:tr>
      <w:tr w:rsidR="00C362E0" w14:paraId="75FDC9B0" w14:textId="77777777" w:rsidTr="00C362E0">
        <w:tc>
          <w:tcPr>
            <w:tcW w:w="6232" w:type="dxa"/>
          </w:tcPr>
          <w:p w14:paraId="07564E84" w14:textId="2BC98340" w:rsidR="00C362E0" w:rsidRDefault="00C362E0" w:rsidP="00EF5DB0">
            <w:pPr>
              <w:tabs>
                <w:tab w:val="left" w:pos="5400"/>
              </w:tabs>
              <w:spacing w:line="276" w:lineRule="auto"/>
            </w:pPr>
            <w:r>
              <w:t>External Door Framing</w:t>
            </w:r>
          </w:p>
        </w:tc>
        <w:tc>
          <w:tcPr>
            <w:tcW w:w="2835" w:type="dxa"/>
          </w:tcPr>
          <w:p w14:paraId="150EDB3F" w14:textId="24C5E63E" w:rsidR="00C362E0" w:rsidRDefault="00C362E0" w:rsidP="00EF5DB0">
            <w:pPr>
              <w:tabs>
                <w:tab w:val="left" w:pos="5400"/>
              </w:tabs>
              <w:spacing w:line="276" w:lineRule="auto"/>
            </w:pPr>
            <w:r>
              <w:t>£10,500.00</w:t>
            </w:r>
          </w:p>
        </w:tc>
      </w:tr>
      <w:tr w:rsidR="00C362E0" w14:paraId="530E0C47" w14:textId="77777777" w:rsidTr="00C362E0">
        <w:tc>
          <w:tcPr>
            <w:tcW w:w="6232" w:type="dxa"/>
          </w:tcPr>
          <w:p w14:paraId="35EA7191" w14:textId="23ECFA5F" w:rsidR="00C362E0" w:rsidRDefault="00C362E0" w:rsidP="00EF5DB0">
            <w:pPr>
              <w:tabs>
                <w:tab w:val="left" w:pos="5400"/>
              </w:tabs>
              <w:spacing w:line="276" w:lineRule="auto"/>
            </w:pPr>
            <w:r>
              <w:t>External Door Glazing</w:t>
            </w:r>
          </w:p>
        </w:tc>
        <w:tc>
          <w:tcPr>
            <w:tcW w:w="2835" w:type="dxa"/>
          </w:tcPr>
          <w:p w14:paraId="7E13A781" w14:textId="1CEAAE01" w:rsidR="00C362E0" w:rsidRDefault="00C362E0" w:rsidP="00EF5DB0">
            <w:pPr>
              <w:tabs>
                <w:tab w:val="left" w:pos="5400"/>
              </w:tabs>
              <w:spacing w:line="276" w:lineRule="auto"/>
            </w:pPr>
            <w:r>
              <w:t>Included Above</w:t>
            </w:r>
          </w:p>
        </w:tc>
      </w:tr>
      <w:tr w:rsidR="00C362E0" w14:paraId="47A19DC6" w14:textId="77777777" w:rsidTr="00C362E0">
        <w:tc>
          <w:tcPr>
            <w:tcW w:w="6232" w:type="dxa"/>
          </w:tcPr>
          <w:p w14:paraId="5DC046E5" w14:textId="2947550B" w:rsidR="00C362E0" w:rsidRDefault="00C362E0" w:rsidP="00EF5DB0">
            <w:pPr>
              <w:tabs>
                <w:tab w:val="left" w:pos="5400"/>
              </w:tabs>
              <w:spacing w:line="276" w:lineRule="auto"/>
            </w:pPr>
            <w:r>
              <w:t>External Door Ironmongery, access controls etc</w:t>
            </w:r>
          </w:p>
        </w:tc>
        <w:tc>
          <w:tcPr>
            <w:tcW w:w="2835" w:type="dxa"/>
          </w:tcPr>
          <w:p w14:paraId="346CA924" w14:textId="7F60BFA1" w:rsidR="00C362E0" w:rsidRDefault="00C362E0" w:rsidP="00EF5DB0">
            <w:pPr>
              <w:tabs>
                <w:tab w:val="left" w:pos="5400"/>
              </w:tabs>
              <w:spacing w:line="276" w:lineRule="auto"/>
            </w:pPr>
            <w:r>
              <w:t>Included Above</w:t>
            </w:r>
          </w:p>
        </w:tc>
      </w:tr>
      <w:tr w:rsidR="00C362E0" w14:paraId="337D39AB" w14:textId="77777777" w:rsidTr="00C362E0">
        <w:tc>
          <w:tcPr>
            <w:tcW w:w="6232" w:type="dxa"/>
          </w:tcPr>
          <w:p w14:paraId="0215C735" w14:textId="0F9639A3" w:rsidR="00C362E0" w:rsidRDefault="00C362E0" w:rsidP="00EF5DB0">
            <w:pPr>
              <w:tabs>
                <w:tab w:val="left" w:pos="5400"/>
              </w:tabs>
              <w:spacing w:line="276" w:lineRule="auto"/>
            </w:pPr>
            <w:r>
              <w:t>Window Framing</w:t>
            </w:r>
          </w:p>
        </w:tc>
        <w:tc>
          <w:tcPr>
            <w:tcW w:w="2835" w:type="dxa"/>
          </w:tcPr>
          <w:p w14:paraId="1887F98C" w14:textId="2FDF4C16" w:rsidR="00C362E0" w:rsidRDefault="00C362E0" w:rsidP="00EF5DB0">
            <w:pPr>
              <w:tabs>
                <w:tab w:val="left" w:pos="5400"/>
              </w:tabs>
              <w:spacing w:line="276" w:lineRule="auto"/>
            </w:pPr>
            <w:r>
              <w:t>£10,000.00</w:t>
            </w:r>
          </w:p>
        </w:tc>
      </w:tr>
      <w:tr w:rsidR="00C362E0" w14:paraId="495FB4C5" w14:textId="77777777" w:rsidTr="00C362E0">
        <w:tc>
          <w:tcPr>
            <w:tcW w:w="6232" w:type="dxa"/>
          </w:tcPr>
          <w:p w14:paraId="58323294" w14:textId="7D1F9949" w:rsidR="00C362E0" w:rsidRDefault="00C362E0" w:rsidP="00EF5DB0">
            <w:pPr>
              <w:tabs>
                <w:tab w:val="left" w:pos="5400"/>
              </w:tabs>
              <w:spacing w:line="276" w:lineRule="auto"/>
            </w:pPr>
            <w:r>
              <w:t>Window Glazing</w:t>
            </w:r>
          </w:p>
        </w:tc>
        <w:tc>
          <w:tcPr>
            <w:tcW w:w="2835" w:type="dxa"/>
          </w:tcPr>
          <w:p w14:paraId="18CB4696" w14:textId="4CFEB2C6" w:rsidR="00C362E0" w:rsidRDefault="00C362E0" w:rsidP="00EF5DB0">
            <w:pPr>
              <w:tabs>
                <w:tab w:val="left" w:pos="5400"/>
              </w:tabs>
              <w:spacing w:line="276" w:lineRule="auto"/>
            </w:pPr>
            <w:r>
              <w:t>Included Above</w:t>
            </w:r>
          </w:p>
        </w:tc>
      </w:tr>
      <w:tr w:rsidR="00C362E0" w14:paraId="7340D1E2" w14:textId="77777777" w:rsidTr="00C362E0">
        <w:tc>
          <w:tcPr>
            <w:tcW w:w="6232" w:type="dxa"/>
          </w:tcPr>
          <w:p w14:paraId="7D45220F" w14:textId="1D2210CA" w:rsidR="00C362E0" w:rsidRDefault="00C362E0" w:rsidP="00EF5DB0">
            <w:pPr>
              <w:tabs>
                <w:tab w:val="left" w:pos="5400"/>
              </w:tabs>
              <w:spacing w:line="276" w:lineRule="auto"/>
            </w:pPr>
            <w:r w:rsidRPr="00C362E0">
              <w:t>Window Ironmongery and access controls</w:t>
            </w:r>
          </w:p>
        </w:tc>
        <w:tc>
          <w:tcPr>
            <w:tcW w:w="2835" w:type="dxa"/>
          </w:tcPr>
          <w:p w14:paraId="60388485" w14:textId="62EDC880" w:rsidR="00C362E0" w:rsidRDefault="00C362E0" w:rsidP="00EF5DB0">
            <w:pPr>
              <w:tabs>
                <w:tab w:val="left" w:pos="5400"/>
              </w:tabs>
              <w:spacing w:line="276" w:lineRule="auto"/>
            </w:pPr>
            <w:r>
              <w:t>Included Above</w:t>
            </w:r>
          </w:p>
        </w:tc>
      </w:tr>
      <w:tr w:rsidR="00C362E0" w14:paraId="5E715BE7" w14:textId="77777777" w:rsidTr="00C362E0">
        <w:tc>
          <w:tcPr>
            <w:tcW w:w="6232" w:type="dxa"/>
          </w:tcPr>
          <w:p w14:paraId="03743C22" w14:textId="0FA67112" w:rsidR="00C362E0" w:rsidRPr="00C362E0" w:rsidRDefault="00C362E0" w:rsidP="00EF5DB0">
            <w:pPr>
              <w:tabs>
                <w:tab w:val="left" w:pos="5400"/>
              </w:tabs>
              <w:spacing w:line="276" w:lineRule="auto"/>
            </w:pPr>
            <w:r>
              <w:t>Linings/finishes on internal walls</w:t>
            </w:r>
          </w:p>
        </w:tc>
        <w:tc>
          <w:tcPr>
            <w:tcW w:w="2835" w:type="dxa"/>
          </w:tcPr>
          <w:p w14:paraId="1D3391E9" w14:textId="3B799E78" w:rsidR="00C362E0" w:rsidRDefault="00C362E0" w:rsidP="00EF5DB0">
            <w:pPr>
              <w:tabs>
                <w:tab w:val="left" w:pos="5400"/>
              </w:tabs>
              <w:spacing w:line="276" w:lineRule="auto"/>
            </w:pPr>
            <w:r>
              <w:t>£15,000.00</w:t>
            </w:r>
          </w:p>
        </w:tc>
      </w:tr>
      <w:tr w:rsidR="00C362E0" w14:paraId="4D21FB72" w14:textId="77777777" w:rsidTr="00C362E0">
        <w:tc>
          <w:tcPr>
            <w:tcW w:w="6232" w:type="dxa"/>
          </w:tcPr>
          <w:p w14:paraId="5D851F8B" w14:textId="569CE852" w:rsidR="00C362E0" w:rsidRDefault="00C362E0" w:rsidP="00EF5DB0">
            <w:pPr>
              <w:tabs>
                <w:tab w:val="left" w:pos="5400"/>
              </w:tabs>
              <w:spacing w:line="276" w:lineRule="auto"/>
            </w:pPr>
            <w:r>
              <w:t>Internal linings/finishes on external walls</w:t>
            </w:r>
          </w:p>
        </w:tc>
        <w:tc>
          <w:tcPr>
            <w:tcW w:w="2835" w:type="dxa"/>
          </w:tcPr>
          <w:p w14:paraId="5717F515" w14:textId="4C0F8EFE" w:rsidR="00C362E0" w:rsidRDefault="00C362E0" w:rsidP="00EF5DB0">
            <w:pPr>
              <w:tabs>
                <w:tab w:val="left" w:pos="5400"/>
              </w:tabs>
              <w:spacing w:line="276" w:lineRule="auto"/>
            </w:pPr>
            <w:r>
              <w:t>£25,000.00</w:t>
            </w:r>
          </w:p>
        </w:tc>
      </w:tr>
      <w:tr w:rsidR="00C362E0" w14:paraId="585C286C" w14:textId="77777777" w:rsidTr="00C362E0">
        <w:tc>
          <w:tcPr>
            <w:tcW w:w="6232" w:type="dxa"/>
          </w:tcPr>
          <w:p w14:paraId="4CC29712" w14:textId="0E1CA84E" w:rsidR="00C362E0" w:rsidRDefault="00C362E0" w:rsidP="00EF5DB0">
            <w:pPr>
              <w:tabs>
                <w:tab w:val="left" w:pos="5400"/>
              </w:tabs>
              <w:spacing w:line="276" w:lineRule="auto"/>
            </w:pPr>
            <w:r>
              <w:lastRenderedPageBreak/>
              <w:t>Internal Doors</w:t>
            </w:r>
          </w:p>
        </w:tc>
        <w:tc>
          <w:tcPr>
            <w:tcW w:w="2835" w:type="dxa"/>
          </w:tcPr>
          <w:p w14:paraId="602A7876" w14:textId="49B08040" w:rsidR="00C362E0" w:rsidRDefault="00C362E0" w:rsidP="00EF5DB0">
            <w:pPr>
              <w:tabs>
                <w:tab w:val="left" w:pos="5400"/>
              </w:tabs>
              <w:spacing w:line="276" w:lineRule="auto"/>
            </w:pPr>
            <w:r>
              <w:t>£6000.00</w:t>
            </w:r>
          </w:p>
        </w:tc>
      </w:tr>
      <w:tr w:rsidR="00C362E0" w14:paraId="3C99D225" w14:textId="77777777" w:rsidTr="00C362E0">
        <w:tc>
          <w:tcPr>
            <w:tcW w:w="6232" w:type="dxa"/>
          </w:tcPr>
          <w:p w14:paraId="0063565E" w14:textId="034D1FA0" w:rsidR="00C362E0" w:rsidRDefault="00C362E0" w:rsidP="00EF5DB0">
            <w:pPr>
              <w:tabs>
                <w:tab w:val="left" w:pos="5400"/>
              </w:tabs>
              <w:spacing w:line="276" w:lineRule="auto"/>
            </w:pPr>
            <w:r>
              <w:t>Fire Doors</w:t>
            </w:r>
          </w:p>
        </w:tc>
        <w:tc>
          <w:tcPr>
            <w:tcW w:w="2835" w:type="dxa"/>
          </w:tcPr>
          <w:p w14:paraId="7DF50A51" w14:textId="27CB5E59" w:rsidR="00C362E0" w:rsidRDefault="00C362E0" w:rsidP="00EF5DB0">
            <w:pPr>
              <w:tabs>
                <w:tab w:val="left" w:pos="5400"/>
              </w:tabs>
              <w:spacing w:line="276" w:lineRule="auto"/>
            </w:pPr>
            <w:r>
              <w:t>£10,750.00</w:t>
            </w:r>
          </w:p>
        </w:tc>
      </w:tr>
      <w:tr w:rsidR="00C362E0" w14:paraId="394663DC" w14:textId="77777777" w:rsidTr="00C362E0">
        <w:tc>
          <w:tcPr>
            <w:tcW w:w="6232" w:type="dxa"/>
          </w:tcPr>
          <w:p w14:paraId="19C1CC3E" w14:textId="77E396B8" w:rsidR="00C362E0" w:rsidRDefault="00C362E0" w:rsidP="00EF5DB0">
            <w:pPr>
              <w:tabs>
                <w:tab w:val="left" w:pos="5400"/>
              </w:tabs>
              <w:spacing w:line="276" w:lineRule="auto"/>
            </w:pPr>
            <w:r>
              <w:t>Internal Door Glazing</w:t>
            </w:r>
          </w:p>
        </w:tc>
        <w:tc>
          <w:tcPr>
            <w:tcW w:w="2835" w:type="dxa"/>
          </w:tcPr>
          <w:p w14:paraId="3AC52C6F" w14:textId="695B598B" w:rsidR="00C362E0" w:rsidRDefault="00C362E0" w:rsidP="00EF5DB0">
            <w:pPr>
              <w:tabs>
                <w:tab w:val="left" w:pos="5400"/>
              </w:tabs>
              <w:spacing w:line="276" w:lineRule="auto"/>
            </w:pPr>
            <w:r>
              <w:t>Included Above</w:t>
            </w:r>
          </w:p>
        </w:tc>
      </w:tr>
      <w:tr w:rsidR="00C362E0" w14:paraId="43763117" w14:textId="77777777" w:rsidTr="00C362E0">
        <w:tc>
          <w:tcPr>
            <w:tcW w:w="6232" w:type="dxa"/>
          </w:tcPr>
          <w:p w14:paraId="31DF06B8" w14:textId="36D3C666" w:rsidR="00C362E0" w:rsidRDefault="00C362E0" w:rsidP="00EF5DB0">
            <w:pPr>
              <w:tabs>
                <w:tab w:val="left" w:pos="5400"/>
              </w:tabs>
              <w:spacing w:line="276" w:lineRule="auto"/>
            </w:pPr>
            <w:r>
              <w:t>Ventilation including specialist systems</w:t>
            </w:r>
          </w:p>
        </w:tc>
        <w:tc>
          <w:tcPr>
            <w:tcW w:w="2835" w:type="dxa"/>
          </w:tcPr>
          <w:p w14:paraId="5411A1BA" w14:textId="50D1EA35" w:rsidR="00C362E0" w:rsidRDefault="00C362E0" w:rsidP="00EF5DB0">
            <w:pPr>
              <w:tabs>
                <w:tab w:val="left" w:pos="5400"/>
              </w:tabs>
              <w:spacing w:line="276" w:lineRule="auto"/>
            </w:pPr>
            <w:r>
              <w:t>£4,000.00</w:t>
            </w:r>
          </w:p>
        </w:tc>
      </w:tr>
      <w:tr w:rsidR="00C362E0" w14:paraId="6D64015E" w14:textId="77777777" w:rsidTr="00C362E0">
        <w:tc>
          <w:tcPr>
            <w:tcW w:w="6232" w:type="dxa"/>
          </w:tcPr>
          <w:p w14:paraId="225FAF3E" w14:textId="6A8CAF2A" w:rsidR="00C362E0" w:rsidRDefault="00C362E0" w:rsidP="00EF5DB0">
            <w:pPr>
              <w:tabs>
                <w:tab w:val="left" w:pos="5400"/>
              </w:tabs>
              <w:spacing w:line="276" w:lineRule="auto"/>
            </w:pPr>
            <w:r>
              <w:t>Redecorations – main building</w:t>
            </w:r>
          </w:p>
        </w:tc>
        <w:tc>
          <w:tcPr>
            <w:tcW w:w="2835" w:type="dxa"/>
          </w:tcPr>
          <w:p w14:paraId="4BD2B484" w14:textId="07540BD1" w:rsidR="00C362E0" w:rsidRDefault="00C362E0" w:rsidP="00EF5DB0">
            <w:pPr>
              <w:tabs>
                <w:tab w:val="left" w:pos="5400"/>
              </w:tabs>
              <w:spacing w:line="276" w:lineRule="auto"/>
            </w:pPr>
            <w:r>
              <w:t>£8,500.00</w:t>
            </w:r>
          </w:p>
        </w:tc>
      </w:tr>
      <w:tr w:rsidR="00C362E0" w14:paraId="520D643F" w14:textId="77777777" w:rsidTr="00C362E0">
        <w:tc>
          <w:tcPr>
            <w:tcW w:w="6232" w:type="dxa"/>
          </w:tcPr>
          <w:p w14:paraId="4D719733" w14:textId="028516F5" w:rsidR="00C362E0" w:rsidRDefault="00C362E0" w:rsidP="00EF5DB0">
            <w:pPr>
              <w:tabs>
                <w:tab w:val="left" w:pos="5400"/>
              </w:tabs>
              <w:spacing w:line="276" w:lineRule="auto"/>
            </w:pPr>
            <w:r>
              <w:t>Redecorations – Portacabin</w:t>
            </w:r>
          </w:p>
        </w:tc>
        <w:tc>
          <w:tcPr>
            <w:tcW w:w="2835" w:type="dxa"/>
          </w:tcPr>
          <w:p w14:paraId="19C2679B" w14:textId="6E66FF21" w:rsidR="00C362E0" w:rsidRDefault="00C362E0" w:rsidP="00EF5DB0">
            <w:pPr>
              <w:tabs>
                <w:tab w:val="left" w:pos="5400"/>
              </w:tabs>
              <w:spacing w:line="276" w:lineRule="auto"/>
            </w:pPr>
            <w:r>
              <w:t>£3,500.00</w:t>
            </w:r>
          </w:p>
        </w:tc>
      </w:tr>
      <w:tr w:rsidR="00C362E0" w14:paraId="2A8008D8" w14:textId="77777777" w:rsidTr="00C362E0">
        <w:tc>
          <w:tcPr>
            <w:tcW w:w="6232" w:type="dxa"/>
          </w:tcPr>
          <w:p w14:paraId="489FD928" w14:textId="5B2F3D54" w:rsidR="00C362E0" w:rsidRDefault="00C362E0" w:rsidP="00EF5DB0">
            <w:pPr>
              <w:tabs>
                <w:tab w:val="left" w:pos="5400"/>
              </w:tabs>
              <w:spacing w:line="276" w:lineRule="auto"/>
            </w:pPr>
            <w:r>
              <w:t>Roads and Car Parks Physical Condition</w:t>
            </w:r>
          </w:p>
        </w:tc>
        <w:tc>
          <w:tcPr>
            <w:tcW w:w="2835" w:type="dxa"/>
          </w:tcPr>
          <w:p w14:paraId="375A9E84" w14:textId="272745D7" w:rsidR="00C362E0" w:rsidRDefault="00C362E0" w:rsidP="00EF5DB0">
            <w:pPr>
              <w:tabs>
                <w:tab w:val="left" w:pos="5400"/>
              </w:tabs>
              <w:spacing w:line="276" w:lineRule="auto"/>
            </w:pPr>
            <w:r>
              <w:t>£20,000.00</w:t>
            </w:r>
          </w:p>
        </w:tc>
      </w:tr>
      <w:tr w:rsidR="00C362E0" w14:paraId="4198B924" w14:textId="77777777" w:rsidTr="00C362E0">
        <w:tc>
          <w:tcPr>
            <w:tcW w:w="6232" w:type="dxa"/>
          </w:tcPr>
          <w:p w14:paraId="7AE098FE" w14:textId="6FE447DF" w:rsidR="00C362E0" w:rsidRDefault="00C362E0" w:rsidP="00EF5DB0">
            <w:pPr>
              <w:tabs>
                <w:tab w:val="left" w:pos="5400"/>
              </w:tabs>
              <w:spacing w:line="276" w:lineRule="auto"/>
            </w:pPr>
            <w:r>
              <w:t>Traffic Management / Separation of Vehicles and Pedestrians</w:t>
            </w:r>
          </w:p>
        </w:tc>
        <w:tc>
          <w:tcPr>
            <w:tcW w:w="2835" w:type="dxa"/>
          </w:tcPr>
          <w:p w14:paraId="155A3B11" w14:textId="0AAB4ECF" w:rsidR="00C362E0" w:rsidRDefault="00C362E0" w:rsidP="00EF5DB0">
            <w:pPr>
              <w:tabs>
                <w:tab w:val="left" w:pos="5400"/>
              </w:tabs>
              <w:spacing w:line="276" w:lineRule="auto"/>
            </w:pPr>
            <w:r>
              <w:t>£5,000.00</w:t>
            </w:r>
          </w:p>
        </w:tc>
      </w:tr>
      <w:tr w:rsidR="00C362E0" w14:paraId="664BEA28" w14:textId="77777777" w:rsidTr="00C362E0">
        <w:tc>
          <w:tcPr>
            <w:tcW w:w="6232" w:type="dxa"/>
          </w:tcPr>
          <w:p w14:paraId="72463B57" w14:textId="17A8C15F" w:rsidR="00C362E0" w:rsidRDefault="00C362E0" w:rsidP="00EF5DB0">
            <w:pPr>
              <w:tabs>
                <w:tab w:val="left" w:pos="5400"/>
              </w:tabs>
              <w:spacing w:line="276" w:lineRule="auto"/>
            </w:pPr>
            <w:r>
              <w:t>Ramps, Stairs, and Steps</w:t>
            </w:r>
          </w:p>
        </w:tc>
        <w:tc>
          <w:tcPr>
            <w:tcW w:w="2835" w:type="dxa"/>
          </w:tcPr>
          <w:p w14:paraId="0B5F6900" w14:textId="5BEB1B2D" w:rsidR="00C362E0" w:rsidRDefault="00C362E0" w:rsidP="00EF5DB0">
            <w:pPr>
              <w:tabs>
                <w:tab w:val="left" w:pos="5400"/>
              </w:tabs>
              <w:spacing w:line="276" w:lineRule="auto"/>
            </w:pPr>
            <w:r>
              <w:t>£3,500.00</w:t>
            </w:r>
          </w:p>
        </w:tc>
      </w:tr>
      <w:tr w:rsidR="00C362E0" w14:paraId="5F2C83A5" w14:textId="77777777" w:rsidTr="00C362E0">
        <w:tc>
          <w:tcPr>
            <w:tcW w:w="6232" w:type="dxa"/>
          </w:tcPr>
          <w:p w14:paraId="00128D31" w14:textId="576A5FE8" w:rsidR="00C362E0" w:rsidRDefault="00C362E0" w:rsidP="00EF5DB0">
            <w:pPr>
              <w:tabs>
                <w:tab w:val="left" w:pos="5400"/>
              </w:tabs>
              <w:spacing w:line="276" w:lineRule="auto"/>
            </w:pPr>
            <w:r>
              <w:t>Perimeter security / fence</w:t>
            </w:r>
          </w:p>
        </w:tc>
        <w:tc>
          <w:tcPr>
            <w:tcW w:w="2835" w:type="dxa"/>
          </w:tcPr>
          <w:p w14:paraId="62BF47A6" w14:textId="065B81C4" w:rsidR="00C362E0" w:rsidRDefault="00C362E0" w:rsidP="00EF5DB0">
            <w:pPr>
              <w:tabs>
                <w:tab w:val="left" w:pos="5400"/>
              </w:tabs>
              <w:spacing w:line="276" w:lineRule="auto"/>
            </w:pPr>
            <w:r>
              <w:t>£17,000.00</w:t>
            </w:r>
          </w:p>
        </w:tc>
      </w:tr>
      <w:tr w:rsidR="00C362E0" w14:paraId="55232BC3" w14:textId="77777777" w:rsidTr="00C362E0">
        <w:tc>
          <w:tcPr>
            <w:tcW w:w="6232" w:type="dxa"/>
          </w:tcPr>
          <w:p w14:paraId="515AE376" w14:textId="1F0175B5" w:rsidR="00C362E0" w:rsidRDefault="008718BB" w:rsidP="00EF5DB0">
            <w:pPr>
              <w:tabs>
                <w:tab w:val="left" w:pos="5400"/>
              </w:tabs>
              <w:spacing w:line="276" w:lineRule="auto"/>
            </w:pPr>
            <w:r>
              <w:t>Bin Stores and Other Minor Structures</w:t>
            </w:r>
          </w:p>
        </w:tc>
        <w:tc>
          <w:tcPr>
            <w:tcW w:w="2835" w:type="dxa"/>
          </w:tcPr>
          <w:p w14:paraId="26D504BA" w14:textId="44506736" w:rsidR="00C362E0" w:rsidRDefault="008718BB" w:rsidP="00EF5DB0">
            <w:pPr>
              <w:tabs>
                <w:tab w:val="left" w:pos="5400"/>
              </w:tabs>
              <w:spacing w:line="276" w:lineRule="auto"/>
            </w:pPr>
            <w:r>
              <w:t>£32,500.000</w:t>
            </w:r>
          </w:p>
        </w:tc>
      </w:tr>
      <w:tr w:rsidR="008718BB" w14:paraId="75D43D6D" w14:textId="77777777" w:rsidTr="00C362E0">
        <w:tc>
          <w:tcPr>
            <w:tcW w:w="6232" w:type="dxa"/>
          </w:tcPr>
          <w:p w14:paraId="597A8108" w14:textId="58DF36B5" w:rsidR="008718BB" w:rsidRDefault="008718BB" w:rsidP="00EF5DB0">
            <w:pPr>
              <w:tabs>
                <w:tab w:val="left" w:pos="5400"/>
              </w:tabs>
              <w:spacing w:line="276" w:lineRule="auto"/>
            </w:pPr>
            <w:r>
              <w:t>Landscaping and Planting</w:t>
            </w:r>
          </w:p>
        </w:tc>
        <w:tc>
          <w:tcPr>
            <w:tcW w:w="2835" w:type="dxa"/>
          </w:tcPr>
          <w:p w14:paraId="4BB4E579" w14:textId="47D0B812" w:rsidR="008718BB" w:rsidRDefault="008718BB" w:rsidP="00EF5DB0">
            <w:pPr>
              <w:tabs>
                <w:tab w:val="left" w:pos="5400"/>
              </w:tabs>
              <w:spacing w:line="276" w:lineRule="auto"/>
            </w:pPr>
            <w:r>
              <w:t>£13,500.00</w:t>
            </w:r>
          </w:p>
        </w:tc>
      </w:tr>
      <w:tr w:rsidR="008718BB" w14:paraId="01CEC20E" w14:textId="77777777" w:rsidTr="00C362E0">
        <w:tc>
          <w:tcPr>
            <w:tcW w:w="6232" w:type="dxa"/>
          </w:tcPr>
          <w:p w14:paraId="2BCB6B39" w14:textId="5460E2E9" w:rsidR="008718BB" w:rsidRPr="008718BB" w:rsidRDefault="008718BB" w:rsidP="00EF5DB0">
            <w:pPr>
              <w:tabs>
                <w:tab w:val="left" w:pos="5400"/>
              </w:tabs>
              <w:spacing w:line="276" w:lineRule="auto"/>
              <w:rPr>
                <w:b/>
                <w:bCs/>
              </w:rPr>
            </w:pPr>
            <w:r w:rsidRPr="008718BB">
              <w:rPr>
                <w:b/>
                <w:bCs/>
              </w:rPr>
              <w:t xml:space="preserve">Revenue Total </w:t>
            </w:r>
          </w:p>
        </w:tc>
        <w:tc>
          <w:tcPr>
            <w:tcW w:w="2835" w:type="dxa"/>
          </w:tcPr>
          <w:p w14:paraId="35DD31DD" w14:textId="42CF572C" w:rsidR="008718BB" w:rsidRPr="008718BB" w:rsidRDefault="008718BB" w:rsidP="00EF5DB0">
            <w:pPr>
              <w:tabs>
                <w:tab w:val="left" w:pos="5400"/>
              </w:tabs>
              <w:spacing w:line="276" w:lineRule="auto"/>
              <w:rPr>
                <w:b/>
                <w:bCs/>
              </w:rPr>
            </w:pPr>
            <w:r w:rsidRPr="008718BB">
              <w:rPr>
                <w:b/>
                <w:bCs/>
              </w:rPr>
              <w:t>£267,750.00</w:t>
            </w:r>
          </w:p>
        </w:tc>
      </w:tr>
    </w:tbl>
    <w:p w14:paraId="40F7FE3F" w14:textId="77777777" w:rsidR="00C362E0" w:rsidRDefault="00C362E0" w:rsidP="00C362E0">
      <w:pPr>
        <w:tabs>
          <w:tab w:val="left" w:pos="5400"/>
        </w:tabs>
      </w:pPr>
    </w:p>
    <w:tbl>
      <w:tblPr>
        <w:tblStyle w:val="TableGrid"/>
        <w:tblW w:w="9067" w:type="dxa"/>
        <w:tblLook w:val="04A0" w:firstRow="1" w:lastRow="0" w:firstColumn="1" w:lastColumn="0" w:noHBand="0" w:noVBand="1"/>
        <w:tblCaption w:val="Capital costs for £290,000.00 maintenance backlog at Ferguslie Park Police Station"/>
        <w:tblDescription w:val="Capital costs for £290,000.00 maintenance backlog at Ferguslie Park Police Station"/>
      </w:tblPr>
      <w:tblGrid>
        <w:gridCol w:w="6232"/>
        <w:gridCol w:w="2835"/>
      </w:tblGrid>
      <w:tr w:rsidR="008718BB" w:rsidRPr="00C362E0" w14:paraId="1B113932" w14:textId="77777777" w:rsidTr="00EF5DB0">
        <w:trPr>
          <w:tblHeader/>
        </w:trPr>
        <w:tc>
          <w:tcPr>
            <w:tcW w:w="6232" w:type="dxa"/>
            <w:shd w:val="clear" w:color="auto" w:fill="D9D9D9" w:themeFill="background1" w:themeFillShade="D9"/>
          </w:tcPr>
          <w:p w14:paraId="47166B03" w14:textId="77777777" w:rsidR="008718BB" w:rsidRPr="00557306" w:rsidRDefault="008718BB" w:rsidP="00EF5DB0">
            <w:pPr>
              <w:spacing w:line="276" w:lineRule="auto"/>
              <w:rPr>
                <w:b/>
              </w:rPr>
            </w:pPr>
            <w:r>
              <w:rPr>
                <w:b/>
              </w:rPr>
              <w:t>Element</w:t>
            </w:r>
          </w:p>
        </w:tc>
        <w:tc>
          <w:tcPr>
            <w:tcW w:w="2835" w:type="dxa"/>
            <w:shd w:val="clear" w:color="auto" w:fill="D9D9D9" w:themeFill="background1" w:themeFillShade="D9"/>
          </w:tcPr>
          <w:p w14:paraId="42142D0E" w14:textId="77777777" w:rsidR="008718BB" w:rsidRPr="00C362E0" w:rsidRDefault="008718BB" w:rsidP="00EF5DB0">
            <w:pPr>
              <w:rPr>
                <w:b/>
                <w:bCs/>
              </w:rPr>
            </w:pPr>
            <w:r w:rsidRPr="00C362E0">
              <w:rPr>
                <w:b/>
                <w:bCs/>
                <w:lang w:eastAsia="en-GB"/>
              </w:rPr>
              <w:t>Ferguslie Park (Police Station)</w:t>
            </w:r>
          </w:p>
        </w:tc>
      </w:tr>
      <w:tr w:rsidR="008718BB" w14:paraId="58A58C9C" w14:textId="77777777" w:rsidTr="00EF5DB0">
        <w:tc>
          <w:tcPr>
            <w:tcW w:w="6232" w:type="dxa"/>
          </w:tcPr>
          <w:p w14:paraId="7ECBF519" w14:textId="2FF3A9C3" w:rsidR="008718BB" w:rsidRDefault="008718BB" w:rsidP="008718BB">
            <w:pPr>
              <w:tabs>
                <w:tab w:val="left" w:pos="5400"/>
              </w:tabs>
              <w:spacing w:line="276" w:lineRule="auto"/>
            </w:pPr>
            <w:r>
              <w:t>Toilet Fixtures &amp; fittings (wash basins, toilets, etc.)</w:t>
            </w:r>
          </w:p>
        </w:tc>
        <w:tc>
          <w:tcPr>
            <w:tcW w:w="2835" w:type="dxa"/>
          </w:tcPr>
          <w:p w14:paraId="7186BA4A" w14:textId="5A01F671" w:rsidR="008718BB" w:rsidRDefault="008718BB" w:rsidP="008718BB">
            <w:pPr>
              <w:tabs>
                <w:tab w:val="left" w:pos="5400"/>
              </w:tabs>
              <w:spacing w:line="276" w:lineRule="auto"/>
            </w:pPr>
            <w:r>
              <w:t>£17,500.00</w:t>
            </w:r>
          </w:p>
        </w:tc>
      </w:tr>
      <w:tr w:rsidR="008718BB" w14:paraId="1790E384" w14:textId="77777777" w:rsidTr="00EF5DB0">
        <w:tc>
          <w:tcPr>
            <w:tcW w:w="6232" w:type="dxa"/>
          </w:tcPr>
          <w:p w14:paraId="4E7E6FB0" w14:textId="02C81A5F" w:rsidR="008718BB" w:rsidRDefault="008718BB" w:rsidP="008718BB">
            <w:pPr>
              <w:tabs>
                <w:tab w:val="left" w:pos="5400"/>
              </w:tabs>
              <w:spacing w:line="276" w:lineRule="auto"/>
            </w:pPr>
            <w:r>
              <w:t>Kitchen Fittings</w:t>
            </w:r>
          </w:p>
        </w:tc>
        <w:tc>
          <w:tcPr>
            <w:tcW w:w="2835" w:type="dxa"/>
          </w:tcPr>
          <w:p w14:paraId="638F9D42" w14:textId="51A867D5" w:rsidR="008718BB" w:rsidRDefault="008718BB" w:rsidP="008718BB">
            <w:pPr>
              <w:tabs>
                <w:tab w:val="left" w:pos="5400"/>
              </w:tabs>
              <w:spacing w:line="276" w:lineRule="auto"/>
            </w:pPr>
            <w:r>
              <w:t>£15,000.000</w:t>
            </w:r>
          </w:p>
        </w:tc>
      </w:tr>
      <w:tr w:rsidR="008718BB" w14:paraId="78D7092D" w14:textId="77777777" w:rsidTr="00EF5DB0">
        <w:tc>
          <w:tcPr>
            <w:tcW w:w="6232" w:type="dxa"/>
          </w:tcPr>
          <w:p w14:paraId="1F3EB5A8" w14:textId="09F986AC" w:rsidR="008718BB" w:rsidRDefault="008718BB" w:rsidP="008718BB">
            <w:pPr>
              <w:tabs>
                <w:tab w:val="left" w:pos="5400"/>
              </w:tabs>
              <w:spacing w:line="276" w:lineRule="auto"/>
            </w:pPr>
            <w:r>
              <w:t>Electrical power wiring</w:t>
            </w:r>
          </w:p>
        </w:tc>
        <w:tc>
          <w:tcPr>
            <w:tcW w:w="2835" w:type="dxa"/>
          </w:tcPr>
          <w:p w14:paraId="43CBB477" w14:textId="44B02F9A" w:rsidR="008718BB" w:rsidRDefault="008718BB" w:rsidP="008718BB">
            <w:pPr>
              <w:tabs>
                <w:tab w:val="left" w:pos="5400"/>
              </w:tabs>
              <w:spacing w:line="276" w:lineRule="auto"/>
            </w:pPr>
            <w:r>
              <w:t>£31,000.00</w:t>
            </w:r>
          </w:p>
        </w:tc>
      </w:tr>
      <w:tr w:rsidR="008718BB" w14:paraId="49BC4434" w14:textId="77777777" w:rsidTr="00EF5DB0">
        <w:tc>
          <w:tcPr>
            <w:tcW w:w="6232" w:type="dxa"/>
          </w:tcPr>
          <w:p w14:paraId="15002817" w14:textId="09C66854" w:rsidR="008718BB" w:rsidRDefault="008718BB" w:rsidP="008718BB">
            <w:pPr>
              <w:tabs>
                <w:tab w:val="left" w:pos="5400"/>
              </w:tabs>
              <w:spacing w:line="276" w:lineRule="auto"/>
            </w:pPr>
            <w:r>
              <w:t>Lighting Wiring</w:t>
            </w:r>
          </w:p>
        </w:tc>
        <w:tc>
          <w:tcPr>
            <w:tcW w:w="2835" w:type="dxa"/>
          </w:tcPr>
          <w:p w14:paraId="420EB82C" w14:textId="1B9D13CB" w:rsidR="008718BB" w:rsidRDefault="008718BB" w:rsidP="008718BB">
            <w:pPr>
              <w:tabs>
                <w:tab w:val="left" w:pos="5400"/>
              </w:tabs>
              <w:spacing w:line="276" w:lineRule="auto"/>
            </w:pPr>
            <w:r>
              <w:t>£17,500.00</w:t>
            </w:r>
          </w:p>
        </w:tc>
      </w:tr>
      <w:tr w:rsidR="008718BB" w14:paraId="1698D944" w14:textId="77777777" w:rsidTr="00EF5DB0">
        <w:tc>
          <w:tcPr>
            <w:tcW w:w="6232" w:type="dxa"/>
          </w:tcPr>
          <w:p w14:paraId="537916C4" w14:textId="282DEC81" w:rsidR="008718BB" w:rsidRDefault="008718BB" w:rsidP="008718BB">
            <w:pPr>
              <w:tabs>
                <w:tab w:val="left" w:pos="5400"/>
              </w:tabs>
              <w:spacing w:line="276" w:lineRule="auto"/>
            </w:pPr>
            <w:r>
              <w:t>External Lightening</w:t>
            </w:r>
          </w:p>
        </w:tc>
        <w:tc>
          <w:tcPr>
            <w:tcW w:w="2835" w:type="dxa"/>
          </w:tcPr>
          <w:p w14:paraId="676B3338" w14:textId="04D6D1AE" w:rsidR="008718BB" w:rsidRDefault="008718BB" w:rsidP="008718BB">
            <w:pPr>
              <w:tabs>
                <w:tab w:val="left" w:pos="5400"/>
              </w:tabs>
              <w:spacing w:line="276" w:lineRule="auto"/>
            </w:pPr>
            <w:r>
              <w:t>£2,000.00</w:t>
            </w:r>
          </w:p>
        </w:tc>
      </w:tr>
      <w:tr w:rsidR="008718BB" w14:paraId="719C22E4" w14:textId="77777777" w:rsidTr="00EF5DB0">
        <w:tc>
          <w:tcPr>
            <w:tcW w:w="6232" w:type="dxa"/>
          </w:tcPr>
          <w:p w14:paraId="6A87CD64" w14:textId="000CA437" w:rsidR="008718BB" w:rsidRPr="008718BB" w:rsidRDefault="008718BB" w:rsidP="008718BB">
            <w:pPr>
              <w:tabs>
                <w:tab w:val="left" w:pos="5400"/>
              </w:tabs>
              <w:spacing w:line="276" w:lineRule="auto"/>
              <w:rPr>
                <w:b/>
                <w:bCs/>
              </w:rPr>
            </w:pPr>
            <w:r w:rsidRPr="008718BB">
              <w:rPr>
                <w:b/>
                <w:bCs/>
              </w:rPr>
              <w:t>Capital Total</w:t>
            </w:r>
          </w:p>
        </w:tc>
        <w:tc>
          <w:tcPr>
            <w:tcW w:w="2835" w:type="dxa"/>
          </w:tcPr>
          <w:p w14:paraId="76DF5A67" w14:textId="3334BF0E" w:rsidR="008718BB" w:rsidRPr="008718BB" w:rsidRDefault="008718BB" w:rsidP="008718BB">
            <w:pPr>
              <w:tabs>
                <w:tab w:val="left" w:pos="5400"/>
              </w:tabs>
              <w:spacing w:line="276" w:lineRule="auto"/>
              <w:rPr>
                <w:b/>
                <w:bCs/>
              </w:rPr>
            </w:pPr>
            <w:r w:rsidRPr="008718BB">
              <w:rPr>
                <w:b/>
                <w:bCs/>
              </w:rPr>
              <w:t>£83,000.00</w:t>
            </w:r>
          </w:p>
        </w:tc>
      </w:tr>
    </w:tbl>
    <w:p w14:paraId="00309B33" w14:textId="3258AF0C" w:rsidR="008718BB" w:rsidRDefault="008718BB" w:rsidP="008718BB">
      <w:pPr>
        <w:pStyle w:val="Heading2"/>
      </w:pPr>
      <w:r w:rsidRPr="008718BB">
        <w:lastRenderedPageBreak/>
        <w:t>How these calculations were arrived at</w:t>
      </w:r>
    </w:p>
    <w:p w14:paraId="09C8BEAA" w14:textId="77777777" w:rsidR="008718BB" w:rsidRDefault="008718BB" w:rsidP="008718BB">
      <w:r>
        <w:t>The calculations were arrived at following the completion of Condition Surveys in 2020.  These budget costs were developed by qualified Building Surveyors based on costs current at the time of inspection.</w:t>
      </w:r>
    </w:p>
    <w:p w14:paraId="34BDABB8" w14:textId="77777777" w:rsidR="00255F1E" w:rsidRDefault="00255F1E" w:rsidP="00793DD5">
      <w:pPr>
        <w:tabs>
          <w:tab w:val="left" w:pos="5400"/>
        </w:tabs>
      </w:pPr>
    </w:p>
    <w:p w14:paraId="6BDF6E4E" w14:textId="77777777" w:rsidR="008718BB" w:rsidRDefault="008718BB" w:rsidP="008718BB">
      <w:pPr>
        <w:pStyle w:val="Heading2"/>
        <w:rPr>
          <w:rFonts w:eastAsia="Times New Roman"/>
        </w:rPr>
      </w:pPr>
      <w:r>
        <w:rPr>
          <w:rFonts w:eastAsia="Times New Roman"/>
        </w:rPr>
        <w:t>When this evaluation of maintenance requirements were carried out </w:t>
      </w:r>
    </w:p>
    <w:p w14:paraId="57A4BCF6" w14:textId="3C10CEEF" w:rsidR="008718BB" w:rsidRPr="008718BB" w:rsidRDefault="008718BB" w:rsidP="008718BB">
      <w:pPr>
        <w:rPr>
          <w:rFonts w:eastAsia="Times New Roman"/>
        </w:rPr>
      </w:pPr>
      <w:r>
        <w:t xml:space="preserve">The evaluation of maintenance was carried out during Q3 of 2020. </w:t>
      </w:r>
    </w:p>
    <w:p w14:paraId="5439B13A" w14:textId="77777777" w:rsidR="008718BB" w:rsidRDefault="008718BB" w:rsidP="008718BB"/>
    <w:p w14:paraId="7CFE4371" w14:textId="77777777" w:rsidR="008718BB" w:rsidRDefault="008718BB" w:rsidP="008718BB">
      <w:pPr>
        <w:pStyle w:val="Heading2"/>
        <w:rPr>
          <w:rFonts w:eastAsia="Times New Roman"/>
        </w:rPr>
      </w:pPr>
      <w:r>
        <w:rPr>
          <w:rFonts w:eastAsia="Times New Roman"/>
        </w:rPr>
        <w:t>The last date on which the office was operational </w:t>
      </w:r>
    </w:p>
    <w:p w14:paraId="564213C5" w14:textId="3641491C" w:rsidR="008718BB" w:rsidRDefault="008718BB" w:rsidP="008718BB">
      <w:pPr>
        <w:pStyle w:val="Heading2"/>
      </w:pPr>
      <w:r w:rsidRPr="008718BB">
        <w:t>Where have furniture and fixtures removed from the station been relocated to</w:t>
      </w:r>
    </w:p>
    <w:p w14:paraId="10F8A201" w14:textId="18606AF6" w:rsidR="008718BB" w:rsidRPr="008718BB" w:rsidRDefault="008718BB" w:rsidP="008718BB">
      <w:pPr>
        <w:pStyle w:val="Heading2"/>
      </w:pPr>
      <w:r w:rsidRPr="008718BB">
        <w:t>The running costs of the office since officers were moved out</w:t>
      </w:r>
    </w:p>
    <w:p w14:paraId="1DD735EF" w14:textId="7194953E" w:rsidR="008718BB" w:rsidRDefault="008718BB" w:rsidP="008718BB">
      <w:r w:rsidRPr="008718BB">
        <w:t xml:space="preserve">Ferguslie Park remains open as a base for operational officers and the consultation on its future is ongoing. No decision has been made to permanently close the </w:t>
      </w:r>
      <w:r>
        <w:t xml:space="preserve">building therefore, the furniture and fittings remain at site. </w:t>
      </w:r>
    </w:p>
    <w:p w14:paraId="23207B75" w14:textId="77777777" w:rsidR="00F50B97" w:rsidRDefault="00F50B97" w:rsidP="008718BB"/>
    <w:p w14:paraId="2AE75186" w14:textId="33E63F8B" w:rsidR="008718BB" w:rsidRDefault="00F50B97" w:rsidP="00F50B97">
      <w:pPr>
        <w:pStyle w:val="Heading2"/>
      </w:pPr>
      <w:r w:rsidRPr="00F50B97">
        <w:t>Any details of maintenance work carried out within the past three years.</w:t>
      </w:r>
    </w:p>
    <w:p w14:paraId="66ECCFBF" w14:textId="589AC5B5" w:rsidR="00F50B97" w:rsidRDefault="00F50B97" w:rsidP="00F50B97">
      <w:pPr>
        <w:tabs>
          <w:tab w:val="left" w:pos="5400"/>
        </w:tabs>
      </w:pPr>
      <w:r>
        <w:t xml:space="preserve">I have included separately to this response a PDF document providing a list of all improvements/works carried out during time period requested. </w:t>
      </w:r>
    </w:p>
    <w:p w14:paraId="25EAC0FC" w14:textId="77777777" w:rsidR="00F50B97" w:rsidRDefault="00F50B97" w:rsidP="00F50B97">
      <w:r>
        <w:t xml:space="preserve">I would advise that some of this information is considered to be exempt in terms of the Freedom of Information (Scotland) Act 2002 (the Act).  </w:t>
      </w:r>
    </w:p>
    <w:p w14:paraId="39FA3AEB" w14:textId="77777777" w:rsidR="00F50B97" w:rsidRDefault="00F50B97" w:rsidP="00F50B97">
      <w:r>
        <w:t xml:space="preserve">Section 16 of the Act requires Police Scotland to provide you with a notice which: (a) states that it holds the information, (b) states that it is claiming an exemption, (c) specifies the exemption in question and (d) states, if that would not be otherwise apparent, why the exemption applies. Where information is considered to be exempt, this letter serves as a Refusal Notice that information is held and an explanation of the appropriate exemption is provided. </w:t>
      </w:r>
    </w:p>
    <w:p w14:paraId="4FB32C20" w14:textId="77777777" w:rsidR="00F50B97" w:rsidRPr="00D755D2" w:rsidRDefault="00F50B97" w:rsidP="00F50B97">
      <w:pPr>
        <w:pStyle w:val="Heading2"/>
      </w:pPr>
      <w:r w:rsidRPr="00D755D2">
        <w:t xml:space="preserve">Section 30 (c) - Prejudice to the Effective Conduct of Public Affairs </w:t>
      </w:r>
    </w:p>
    <w:p w14:paraId="27B0B0E7" w14:textId="77777777" w:rsidR="00F50B97" w:rsidRPr="00D755D2" w:rsidRDefault="00F50B97" w:rsidP="00F50B97">
      <w:r w:rsidRPr="00D755D2">
        <w:t xml:space="preserve">Information is exempt information if its disclosure under the Act would otherwise prejudice substantially, or be likely to prejudice substantially, the effective conduct of public affairs. </w:t>
      </w:r>
    </w:p>
    <w:p w14:paraId="407F4943" w14:textId="77777777" w:rsidR="00F50B97" w:rsidRPr="00D755D2" w:rsidRDefault="00F50B97" w:rsidP="00F50B97">
      <w:r w:rsidRPr="00D755D2">
        <w:lastRenderedPageBreak/>
        <w:t>In this instance telephone number</w:t>
      </w:r>
      <w:r>
        <w:t>s</w:t>
      </w:r>
      <w:r w:rsidRPr="00D755D2">
        <w:t xml:space="preserve"> cannot be disclosed. To release these details publicly through FOI legislation could negatively impact on the operational effectiveness of the service and partner agencies. The phone numbers are used for operational/business purposes and this information has been removed in order to ensure that internal processes are protected.</w:t>
      </w:r>
    </w:p>
    <w:p w14:paraId="6E2A63C8" w14:textId="77777777" w:rsidR="00F50B97" w:rsidRDefault="00F50B97" w:rsidP="00F50B97">
      <w:r w:rsidRPr="00D755D2">
        <w:t xml:space="preserve">This is a non-absolute exemption which requires the application of the Public Interest Test. </w:t>
      </w:r>
    </w:p>
    <w:p w14:paraId="6B42E4B1" w14:textId="77777777" w:rsidR="00F50B97" w:rsidRDefault="00F50B97" w:rsidP="00F50B97">
      <w:pPr>
        <w:tabs>
          <w:tab w:val="left" w:pos="5400"/>
        </w:tabs>
        <w:outlineLvl w:val="0"/>
        <w:rPr>
          <w:b/>
        </w:rPr>
      </w:pPr>
      <w:r>
        <w:rPr>
          <w:b/>
        </w:rPr>
        <w:t>Section 35(1) (a) and (b) Law Enforcement</w:t>
      </w:r>
    </w:p>
    <w:p w14:paraId="004C5004" w14:textId="77777777" w:rsidR="00F50B97" w:rsidRDefault="00F50B97" w:rsidP="00F50B97">
      <w:r>
        <w:t xml:space="preserve">Release of the information requested would adversely impact on the operational effectiveness of the Service. Being aware of some of these outstanding repairs/repairs previously needed within this location could allow persons or groups intent on committing offences, or causing disorder, with information which could </w:t>
      </w:r>
      <w:r w:rsidRPr="0064188A">
        <w:t xml:space="preserve">be </w:t>
      </w:r>
      <w:r>
        <w:t>a</w:t>
      </w:r>
      <w:r w:rsidRPr="0064188A">
        <w:t xml:space="preserve"> security risk and a risk Police Scotland staff and officer safety.   </w:t>
      </w:r>
    </w:p>
    <w:p w14:paraId="0AA66AB8" w14:textId="77777777" w:rsidR="00F50B97" w:rsidRDefault="00F50B97" w:rsidP="00F50B97">
      <w:pPr>
        <w:tabs>
          <w:tab w:val="left" w:pos="5400"/>
        </w:tabs>
        <w:outlineLvl w:val="0"/>
      </w:pPr>
      <w:r>
        <w:t>This is a non-absolute exemption which requires the application of the public interest test.</w:t>
      </w:r>
    </w:p>
    <w:p w14:paraId="2D58D057" w14:textId="77777777" w:rsidR="00F50B97" w:rsidRDefault="00F50B97" w:rsidP="00F50B97">
      <w:pPr>
        <w:tabs>
          <w:tab w:val="left" w:pos="5400"/>
        </w:tabs>
        <w:outlineLvl w:val="0"/>
        <w:rPr>
          <w:b/>
        </w:rPr>
      </w:pPr>
      <w:r>
        <w:rPr>
          <w:b/>
        </w:rPr>
        <w:t xml:space="preserve">Public Interest Test </w:t>
      </w:r>
    </w:p>
    <w:p w14:paraId="433D6400" w14:textId="77777777" w:rsidR="00F50B97" w:rsidRDefault="00F50B97" w:rsidP="00F50B97">
      <w:pPr>
        <w:tabs>
          <w:tab w:val="left" w:pos="5400"/>
        </w:tabs>
        <w:outlineLvl w:val="0"/>
        <w:rPr>
          <w:iCs/>
        </w:rPr>
      </w:pPr>
      <w:r>
        <w:rPr>
          <w:iCs/>
        </w:rPr>
        <w:t xml:space="preserve">Public awareness and accountability would favour a disclosure on this subject as it would contribute to the public debate surrounding the efficient and effective use of resources by the Service. However, in contrast, there is no public interest in disclosing information which is likely to damage the efficient and effective conduct of the police service in relation to its law enforcement role, or which is likely to have an adverse impact upon public safety. </w:t>
      </w:r>
    </w:p>
    <w:p w14:paraId="25322CC1" w14:textId="77777777" w:rsidR="00F50B97" w:rsidRDefault="00F50B97" w:rsidP="00F50B97">
      <w:pPr>
        <w:tabs>
          <w:tab w:val="left" w:pos="5400"/>
        </w:tabs>
        <w:outlineLvl w:val="0"/>
        <w:rPr>
          <w:iCs/>
        </w:rPr>
      </w:pPr>
      <w:r>
        <w:rPr>
          <w:iCs/>
        </w:rPr>
        <w:t>Accordingly, I consider that the decision must fall in favour of preventing crime and safeguarding the health and safety of police employees and the public, therefore, on balance, the public interest in disclosing the information requested is outweighed by that in maintaining the exemptions detailed above.</w:t>
      </w:r>
    </w:p>
    <w:p w14:paraId="10EBB4B1" w14:textId="77777777" w:rsidR="00F50B97" w:rsidRPr="00642BB1" w:rsidRDefault="00F50B97" w:rsidP="00F50B97">
      <w:pPr>
        <w:keepNext/>
        <w:keepLines/>
        <w:spacing w:before="40"/>
        <w:outlineLvl w:val="1"/>
        <w:rPr>
          <w:rFonts w:eastAsiaTheme="majorEastAsia" w:cstheme="majorBidi"/>
          <w:b/>
          <w:color w:val="000000" w:themeColor="text1"/>
          <w:szCs w:val="26"/>
        </w:rPr>
      </w:pPr>
      <w:r w:rsidRPr="00642BB1">
        <w:rPr>
          <w:rFonts w:eastAsiaTheme="majorEastAsia" w:cstheme="majorBidi"/>
          <w:b/>
          <w:color w:val="000000" w:themeColor="text1"/>
          <w:szCs w:val="26"/>
        </w:rPr>
        <w:t>Section 38(1) (b) of the Act - personal information.</w:t>
      </w:r>
    </w:p>
    <w:p w14:paraId="3D7FB634" w14:textId="77777777" w:rsidR="00F50B97" w:rsidRPr="00642BB1" w:rsidRDefault="00F50B97" w:rsidP="00F50B97">
      <w:r w:rsidRPr="00642BB1">
        <w:t>Personal data is defined in Article 4 of the General Data Protection Regulation (GDPR) as:</w:t>
      </w:r>
    </w:p>
    <w:p w14:paraId="677DC2CD" w14:textId="77777777" w:rsidR="00F50B97" w:rsidRPr="00642BB1" w:rsidRDefault="00F50B97" w:rsidP="00F50B97">
      <w:r w:rsidRPr="00642BB1">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5EA73179" w14:textId="77777777" w:rsidR="00F50B97" w:rsidRPr="00642BB1" w:rsidRDefault="00F50B97" w:rsidP="00F50B97">
      <w:r w:rsidRPr="00642BB1">
        <w:lastRenderedPageBreak/>
        <w:t>Section 38(2A) of the Act provides that personal data is exempt from disclosure where disclosure would contravene any of the data protection principles set out at Article 5(1) of the GDPR which states that:</w:t>
      </w:r>
    </w:p>
    <w:p w14:paraId="4F21EA97" w14:textId="77777777" w:rsidR="00F50B97" w:rsidRPr="00642BB1" w:rsidRDefault="00F50B97" w:rsidP="00F50B97">
      <w:r w:rsidRPr="00642BB1">
        <w:t>‘Personal data shall be processed lawfully, fairly and in a transparent manner in relation to the data subject’</w:t>
      </w:r>
    </w:p>
    <w:p w14:paraId="63317174" w14:textId="77777777" w:rsidR="00F50B97" w:rsidRPr="00642BB1" w:rsidRDefault="00F50B97" w:rsidP="00F50B97">
      <w:r w:rsidRPr="00642BB1">
        <w:t>Article 6 of the GDPR goes on to state that processing shall be lawful only if certain conditions are met.  The only potentially applicable condition is Article 6(1) (f) which states:</w:t>
      </w:r>
    </w:p>
    <w:p w14:paraId="7ADA5DBB" w14:textId="77777777" w:rsidR="00F50B97" w:rsidRPr="00642BB1" w:rsidRDefault="00F50B97" w:rsidP="00F50B97">
      <w:r w:rsidRPr="00642BB1">
        <w:t>‘Processing is necessary for the purposes of the legitimate interests pursued by the controller or by a third party, except where such interests are overridden by the interests or fundamental rights and freedoms of the data subject which require protection of personal data.</w:t>
      </w:r>
    </w:p>
    <w:p w14:paraId="264AD309" w14:textId="77777777" w:rsidR="00F50B97" w:rsidRPr="00642BB1" w:rsidRDefault="00F50B97" w:rsidP="00F50B97">
      <w:r w:rsidRPr="00642BB1">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subject(s).</w:t>
      </w:r>
    </w:p>
    <w:p w14:paraId="34BDABBD" w14:textId="763FD57D" w:rsidR="00BF6B81" w:rsidRDefault="00F50B97" w:rsidP="00F50B97">
      <w:pPr>
        <w:keepNext/>
        <w:keepLines/>
        <w:spacing w:before="40"/>
        <w:outlineLvl w:val="1"/>
        <w:rPr>
          <w:rFonts w:eastAsia="Times New Roman" w:cstheme="majorBidi"/>
          <w:b/>
          <w:color w:val="000000" w:themeColor="text1"/>
          <w:szCs w:val="26"/>
        </w:rPr>
      </w:pPr>
      <w:r w:rsidRPr="00642BB1">
        <w:t>This is an absolute exemption and does not require the application of the public interest test.</w:t>
      </w:r>
    </w:p>
    <w:p w14:paraId="27F5C911" w14:textId="77777777" w:rsidR="00F50B97" w:rsidRDefault="00F50B97" w:rsidP="00F50B97">
      <w:pPr>
        <w:keepNext/>
        <w:keepLines/>
        <w:spacing w:before="40"/>
        <w:outlineLvl w:val="1"/>
        <w:rPr>
          <w:rFonts w:eastAsia="Times New Roman" w:cstheme="majorBidi"/>
          <w:b/>
          <w:color w:val="000000" w:themeColor="text1"/>
          <w:szCs w:val="26"/>
        </w:rPr>
      </w:pPr>
    </w:p>
    <w:p w14:paraId="0F060233" w14:textId="08A7C9CF" w:rsidR="00F50B97" w:rsidRDefault="00F50B97" w:rsidP="00F50B97">
      <w:pPr>
        <w:keepNext/>
        <w:keepLines/>
        <w:spacing w:before="40"/>
        <w:outlineLvl w:val="1"/>
        <w:rPr>
          <w:rFonts w:eastAsia="Times New Roman" w:cstheme="majorBidi"/>
          <w:b/>
          <w:color w:val="000000" w:themeColor="text1"/>
          <w:szCs w:val="26"/>
        </w:rPr>
      </w:pPr>
      <w:r w:rsidRPr="00F50B97">
        <w:rPr>
          <w:rFonts w:eastAsia="Times New Roman" w:cstheme="majorBidi"/>
          <w:b/>
          <w:color w:val="000000" w:themeColor="text1"/>
          <w:szCs w:val="26"/>
        </w:rPr>
        <w:t>Could you also please share with me any correspondence on the decision to move officers out of Ferguslie Police Station and on future plans for the site including any discussions around the sale of the office or the land that it occupies.</w:t>
      </w:r>
    </w:p>
    <w:p w14:paraId="211F84EE" w14:textId="77777777" w:rsidR="00F50B97" w:rsidRDefault="00F50B97" w:rsidP="00F50B97">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B0FD2CD" w14:textId="6395E3B3" w:rsidR="00F50B97" w:rsidRDefault="00F50B97" w:rsidP="00F50B97">
      <w:r>
        <w:t xml:space="preserve">To explain, to provide you with all / any correspondence regarding future plans / decisions regarding Fergulise Police Station would require a lot of manual work, we would need to reach out to all officers and staff who may have input or involvement and go through email trials etc to provide you with the information you are requesting.  </w:t>
      </w:r>
    </w:p>
    <w:p w14:paraId="7C034CF2" w14:textId="77777777" w:rsidR="00F50B97" w:rsidRPr="00F50B97" w:rsidRDefault="00F50B97" w:rsidP="00F50B97">
      <w:pPr>
        <w:keepNext/>
        <w:keepLines/>
        <w:spacing w:before="40"/>
        <w:outlineLvl w:val="1"/>
        <w:rPr>
          <w:rFonts w:eastAsia="Times New Roman" w:cstheme="majorBidi"/>
          <w:b/>
          <w:color w:val="000000" w:themeColor="text1"/>
          <w:szCs w:val="26"/>
        </w:rPr>
      </w:pPr>
    </w:p>
    <w:p w14:paraId="04BD688E" w14:textId="77777777" w:rsidR="00F50B97" w:rsidRDefault="00F50B97" w:rsidP="00793DD5"/>
    <w:p w14:paraId="25CC69A5" w14:textId="77777777" w:rsidR="00F50B97" w:rsidRDefault="00F50B97" w:rsidP="00793DD5"/>
    <w:p w14:paraId="34BDABBE" w14:textId="7160B35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B48E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33D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AC7EA3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33D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ECF17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33D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E49F4F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33D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98E020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33D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C1EB4A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33D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89577C"/>
    <w:multiLevelType w:val="multilevel"/>
    <w:tmpl w:val="ED020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437017"/>
    <w:multiLevelType w:val="multilevel"/>
    <w:tmpl w:val="D42C2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2039113189">
    <w:abstractNumId w:val="0"/>
  </w:num>
  <w:num w:numId="3" w16cid:durableId="1542204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C3304"/>
    <w:rsid w:val="000E2F19"/>
    <w:rsid w:val="000E6526"/>
    <w:rsid w:val="00141533"/>
    <w:rsid w:val="001576DD"/>
    <w:rsid w:val="00167528"/>
    <w:rsid w:val="00195CC4"/>
    <w:rsid w:val="00207326"/>
    <w:rsid w:val="00253DF6"/>
    <w:rsid w:val="00255F1E"/>
    <w:rsid w:val="002B7893"/>
    <w:rsid w:val="002D74E5"/>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378CB"/>
    <w:rsid w:val="00540A52"/>
    <w:rsid w:val="00557306"/>
    <w:rsid w:val="005F2EF2"/>
    <w:rsid w:val="00645CFA"/>
    <w:rsid w:val="006D5799"/>
    <w:rsid w:val="00743BB0"/>
    <w:rsid w:val="00750D83"/>
    <w:rsid w:val="00752ED6"/>
    <w:rsid w:val="00785DBC"/>
    <w:rsid w:val="00793DD5"/>
    <w:rsid w:val="007D55F6"/>
    <w:rsid w:val="007F490F"/>
    <w:rsid w:val="0086779C"/>
    <w:rsid w:val="008718BB"/>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E33DD"/>
    <w:rsid w:val="00BF6B81"/>
    <w:rsid w:val="00C077A8"/>
    <w:rsid w:val="00C14FF4"/>
    <w:rsid w:val="00C362E0"/>
    <w:rsid w:val="00C606A2"/>
    <w:rsid w:val="00C63872"/>
    <w:rsid w:val="00C84948"/>
    <w:rsid w:val="00CB3707"/>
    <w:rsid w:val="00CC46C9"/>
    <w:rsid w:val="00CC705D"/>
    <w:rsid w:val="00CD0C53"/>
    <w:rsid w:val="00CF1111"/>
    <w:rsid w:val="00D05706"/>
    <w:rsid w:val="00D27DC5"/>
    <w:rsid w:val="00D44B13"/>
    <w:rsid w:val="00D47E36"/>
    <w:rsid w:val="00D7784F"/>
    <w:rsid w:val="00DC2B74"/>
    <w:rsid w:val="00E55D79"/>
    <w:rsid w:val="00EE2373"/>
    <w:rsid w:val="00EF4761"/>
    <w:rsid w:val="00EF6523"/>
    <w:rsid w:val="00F21D44"/>
    <w:rsid w:val="00F50B9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99607">
      <w:bodyDiv w:val="1"/>
      <w:marLeft w:val="0"/>
      <w:marRight w:val="0"/>
      <w:marTop w:val="0"/>
      <w:marBottom w:val="0"/>
      <w:divBdr>
        <w:top w:val="none" w:sz="0" w:space="0" w:color="auto"/>
        <w:left w:val="none" w:sz="0" w:space="0" w:color="auto"/>
        <w:bottom w:val="none" w:sz="0" w:space="0" w:color="auto"/>
        <w:right w:val="none" w:sz="0" w:space="0" w:color="auto"/>
      </w:divBdr>
    </w:div>
    <w:div w:id="392433021">
      <w:bodyDiv w:val="1"/>
      <w:marLeft w:val="0"/>
      <w:marRight w:val="0"/>
      <w:marTop w:val="0"/>
      <w:marBottom w:val="0"/>
      <w:divBdr>
        <w:top w:val="none" w:sz="0" w:space="0" w:color="auto"/>
        <w:left w:val="none" w:sz="0" w:space="0" w:color="auto"/>
        <w:bottom w:val="none" w:sz="0" w:space="0" w:color="auto"/>
        <w:right w:val="none" w:sz="0" w:space="0" w:color="auto"/>
      </w:divBdr>
    </w:div>
    <w:div w:id="668557561">
      <w:bodyDiv w:val="1"/>
      <w:marLeft w:val="0"/>
      <w:marRight w:val="0"/>
      <w:marTop w:val="0"/>
      <w:marBottom w:val="0"/>
      <w:divBdr>
        <w:top w:val="none" w:sz="0" w:space="0" w:color="auto"/>
        <w:left w:val="none" w:sz="0" w:space="0" w:color="auto"/>
        <w:bottom w:val="none" w:sz="0" w:space="0" w:color="auto"/>
        <w:right w:val="none" w:sz="0" w:space="0" w:color="auto"/>
      </w:divBdr>
    </w:div>
    <w:div w:id="1464546024">
      <w:bodyDiv w:val="1"/>
      <w:marLeft w:val="0"/>
      <w:marRight w:val="0"/>
      <w:marTop w:val="0"/>
      <w:marBottom w:val="0"/>
      <w:divBdr>
        <w:top w:val="none" w:sz="0" w:space="0" w:color="auto"/>
        <w:left w:val="none" w:sz="0" w:space="0" w:color="auto"/>
        <w:bottom w:val="none" w:sz="0" w:space="0" w:color="auto"/>
        <w:right w:val="none" w:sz="0" w:space="0" w:color="auto"/>
      </w:divBdr>
    </w:div>
    <w:div w:id="156101713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1393</Words>
  <Characters>7942</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2024-10-10T14:09:00Z</cp:lastPrinted>
  <dcterms:created xsi:type="dcterms:W3CDTF">2024-06-24T12:04:00Z</dcterms:created>
  <dcterms:modified xsi:type="dcterms:W3CDTF">2024-10-10T14:10:00Z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