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70C9CEA" w:rsidR="00B17211" w:rsidRPr="00B17211" w:rsidRDefault="00B17211" w:rsidP="007F490F">
            <w:r w:rsidRPr="007F490F">
              <w:rPr>
                <w:rStyle w:val="Heading2Char"/>
              </w:rPr>
              <w:t>Our reference:</w:t>
            </w:r>
            <w:r>
              <w:t xml:space="preserve">  FOI 2</w:t>
            </w:r>
            <w:r w:rsidR="00B654B6">
              <w:t>4</w:t>
            </w:r>
            <w:r>
              <w:t>-</w:t>
            </w:r>
            <w:r w:rsidR="004D242C">
              <w:t>2720</w:t>
            </w:r>
          </w:p>
          <w:p w14:paraId="34BDABA6" w14:textId="61F0C959" w:rsidR="00B17211" w:rsidRDefault="00456324" w:rsidP="00EE2373">
            <w:r w:rsidRPr="007F490F">
              <w:rPr>
                <w:rStyle w:val="Heading2Char"/>
              </w:rPr>
              <w:t>Respon</w:t>
            </w:r>
            <w:r w:rsidR="007D55F6">
              <w:rPr>
                <w:rStyle w:val="Heading2Char"/>
              </w:rPr>
              <w:t>ded to:</w:t>
            </w:r>
            <w:r w:rsidR="007F490F">
              <w:t xml:space="preserve">  </w:t>
            </w:r>
            <w:r w:rsidR="004D242C">
              <w:t>19 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C8ED404" w14:textId="77777777" w:rsidR="00AF2B38" w:rsidRPr="00AF2B38" w:rsidRDefault="00AF2B38" w:rsidP="00AF2B38">
      <w:pPr>
        <w:tabs>
          <w:tab w:val="left" w:pos="5400"/>
        </w:tabs>
        <w:rPr>
          <w:rFonts w:eastAsiaTheme="majorEastAsia" w:cstheme="majorBidi"/>
          <w:b/>
          <w:color w:val="000000" w:themeColor="text1"/>
          <w:szCs w:val="26"/>
        </w:rPr>
      </w:pPr>
      <w:r w:rsidRPr="00AF2B38">
        <w:rPr>
          <w:rFonts w:eastAsiaTheme="majorEastAsia" w:cstheme="majorBidi"/>
          <w:b/>
          <w:color w:val="000000" w:themeColor="text1"/>
          <w:szCs w:val="26"/>
        </w:rPr>
        <w:t>Please could you provide me the following:</w:t>
      </w:r>
    </w:p>
    <w:p w14:paraId="3E68A1B4" w14:textId="5D655AFB" w:rsidR="00AF2B38" w:rsidRDefault="00AF2B38" w:rsidP="00AF2B38">
      <w:pPr>
        <w:tabs>
          <w:tab w:val="left" w:pos="5400"/>
        </w:tabs>
        <w:rPr>
          <w:rFonts w:eastAsiaTheme="majorEastAsia" w:cstheme="majorBidi"/>
          <w:b/>
          <w:color w:val="000000" w:themeColor="text1"/>
          <w:szCs w:val="26"/>
        </w:rPr>
      </w:pPr>
      <w:r w:rsidRPr="00AF2B38">
        <w:rPr>
          <w:rFonts w:eastAsiaTheme="majorEastAsia" w:cstheme="majorBidi"/>
          <w:b/>
          <w:color w:val="000000" w:themeColor="text1"/>
          <w:szCs w:val="26"/>
        </w:rPr>
        <w:t>1.Copies of any Transfer Risk Assessments (TRA) that have been conducted in relation to DESC, by any of the DESC partners;</w:t>
      </w:r>
    </w:p>
    <w:p w14:paraId="4B31B8E6" w14:textId="7A6BD8EA" w:rsidR="00AF2B38" w:rsidRDefault="00AF2B38" w:rsidP="00AF2B38">
      <w:r>
        <w:t>Please see</w:t>
      </w:r>
      <w:r w:rsidR="00904E3F">
        <w:t xml:space="preserve"> separately</w:t>
      </w:r>
      <w:r>
        <w:t xml:space="preserve"> attached two Transfer Risk Assessments. </w:t>
      </w:r>
    </w:p>
    <w:p w14:paraId="08EBD117" w14:textId="77777777" w:rsidR="00AF2B38" w:rsidRPr="00AF2B38" w:rsidRDefault="00AF2B38" w:rsidP="00AF2B38">
      <w:pPr>
        <w:tabs>
          <w:tab w:val="left" w:pos="5400"/>
        </w:tabs>
        <w:rPr>
          <w:rFonts w:eastAsiaTheme="majorEastAsia" w:cstheme="majorBidi"/>
          <w:b/>
          <w:color w:val="000000" w:themeColor="text1"/>
          <w:szCs w:val="26"/>
        </w:rPr>
      </w:pPr>
    </w:p>
    <w:p w14:paraId="4F1040CB" w14:textId="166C4C03" w:rsidR="00AF2B38" w:rsidRDefault="00AF2B38" w:rsidP="00AF2B38">
      <w:pPr>
        <w:tabs>
          <w:tab w:val="left" w:pos="5400"/>
        </w:tabs>
        <w:rPr>
          <w:rFonts w:eastAsiaTheme="majorEastAsia" w:cstheme="majorBidi"/>
          <w:b/>
          <w:color w:val="000000" w:themeColor="text1"/>
          <w:szCs w:val="26"/>
        </w:rPr>
      </w:pPr>
      <w:r w:rsidRPr="00AF2B38">
        <w:rPr>
          <w:rFonts w:eastAsiaTheme="majorEastAsia" w:cstheme="majorBidi"/>
          <w:b/>
          <w:color w:val="000000" w:themeColor="text1"/>
          <w:szCs w:val="26"/>
        </w:rPr>
        <w:t>2.Confirmation on whether an International Data Transfer Agreement is in place for DESC</w:t>
      </w:r>
    </w:p>
    <w:p w14:paraId="5AA8D462" w14:textId="77777777" w:rsidR="00AE4FAC" w:rsidRDefault="00AE4FAC" w:rsidP="00AE4FAC">
      <w:r>
        <w:t>Yes, a</w:t>
      </w:r>
      <w:r w:rsidRPr="00AF2B38">
        <w:t xml:space="preserve">n Axon Intra-group data transfer agreement (“IGDTA”) has been executed. </w:t>
      </w:r>
    </w:p>
    <w:p w14:paraId="1A801225" w14:textId="77777777" w:rsidR="00AE4FAC" w:rsidRDefault="00AE4FAC" w:rsidP="00AE4FAC"/>
    <w:p w14:paraId="295A27B1" w14:textId="6C7680D0" w:rsidR="00904E3F" w:rsidRDefault="00904E3F" w:rsidP="00AF2B38">
      <w:pPr>
        <w:tabs>
          <w:tab w:val="left" w:pos="5400"/>
        </w:tabs>
        <w:rPr>
          <w:rFonts w:eastAsiaTheme="majorEastAsia" w:cstheme="majorBidi"/>
          <w:b/>
          <w:color w:val="000000" w:themeColor="text1"/>
          <w:szCs w:val="26"/>
        </w:rPr>
      </w:pPr>
      <w:r w:rsidRPr="00AF2B38">
        <w:rPr>
          <w:rFonts w:eastAsiaTheme="majorEastAsia" w:cstheme="majorBidi"/>
          <w:b/>
          <w:color w:val="000000" w:themeColor="text1"/>
          <w:szCs w:val="26"/>
        </w:rPr>
        <w:t>3.Copies of any International Data Transfer Agreement is in place for DESC;</w:t>
      </w:r>
    </w:p>
    <w:p w14:paraId="182D2702" w14:textId="55E9FF4D" w:rsidR="00904E3F" w:rsidRPr="00AE4FAC" w:rsidRDefault="00AE4FAC" w:rsidP="00AE4FAC">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following exemptions apply:</w:t>
      </w:r>
    </w:p>
    <w:p w14:paraId="173B872E" w14:textId="1C9DD223" w:rsidR="00904E3F" w:rsidRDefault="00904E3F" w:rsidP="00904E3F">
      <w:pPr>
        <w:autoSpaceDE w:val="0"/>
        <w:autoSpaceDN w:val="0"/>
        <w:adjustRightInd w:val="0"/>
        <w:rPr>
          <w:b/>
        </w:rPr>
      </w:pPr>
      <w:r w:rsidRPr="00B40D0F">
        <w:rPr>
          <w:b/>
        </w:rPr>
        <w:t xml:space="preserve">Section 33(1)(b) </w:t>
      </w:r>
      <w:r w:rsidR="00AE4FAC">
        <w:rPr>
          <w:b/>
        </w:rPr>
        <w:t>-</w:t>
      </w:r>
      <w:r w:rsidRPr="00B40D0F">
        <w:rPr>
          <w:b/>
        </w:rPr>
        <w:t xml:space="preserve"> Commercial Interests</w:t>
      </w:r>
    </w:p>
    <w:p w14:paraId="61BDA4FC" w14:textId="77777777" w:rsidR="00904E3F" w:rsidRPr="00672723" w:rsidRDefault="00904E3F" w:rsidP="00904E3F">
      <w:pPr>
        <w:autoSpaceDE w:val="0"/>
        <w:autoSpaceDN w:val="0"/>
        <w:adjustRightInd w:val="0"/>
      </w:pPr>
      <w:r>
        <w:t xml:space="preserve">Information is exempt under section 33(1)(b) if its disclosure would, or would be likely to, prejudice substantially the commercial interests of any person. In terms of the legislation a Person includes a public authority, company and partnership. </w:t>
      </w:r>
    </w:p>
    <w:p w14:paraId="436F3701" w14:textId="77777777" w:rsidR="00904E3F" w:rsidRDefault="00904E3F" w:rsidP="00904E3F">
      <w:pPr>
        <w:autoSpaceDE w:val="0"/>
        <w:autoSpaceDN w:val="0"/>
        <w:adjustRightInd w:val="0"/>
      </w:pPr>
      <w:r>
        <w:t xml:space="preserve">Commercial interest is not defined in the Act, however, a person’s or organisation’s commercial interests will usually relate to the commercial trading activity they undertake, commonly for the purpose of revenue generation and this activity will normally take place within a competitive environment. </w:t>
      </w:r>
    </w:p>
    <w:p w14:paraId="1C9E0AF1" w14:textId="77777777" w:rsidR="00904E3F" w:rsidRDefault="00904E3F" w:rsidP="00904E3F">
      <w:r>
        <w:t xml:space="preserve">In this instance disclosure of this document would be detrimental to the data owner(s) and as such </w:t>
      </w:r>
      <w:r w:rsidRPr="002B57A7">
        <w:t>is</w:t>
      </w:r>
      <w:r>
        <w:t xml:space="preserve"> considered to be commercially sensitive. </w:t>
      </w:r>
    </w:p>
    <w:p w14:paraId="76167067" w14:textId="77777777" w:rsidR="00904E3F" w:rsidRPr="002B57A7" w:rsidRDefault="00904E3F" w:rsidP="00904E3F">
      <w:r w:rsidRPr="002B57A7">
        <w:t>This is a non-absolute exemption which requires the application of the Public Interest Test.</w:t>
      </w:r>
    </w:p>
    <w:p w14:paraId="55E309BD" w14:textId="77777777" w:rsidR="00904E3F" w:rsidRDefault="00904E3F" w:rsidP="00904E3F">
      <w:pPr>
        <w:rPr>
          <w:b/>
        </w:rPr>
      </w:pPr>
      <w:r w:rsidRPr="00316D7D">
        <w:rPr>
          <w:b/>
        </w:rPr>
        <w:lastRenderedPageBreak/>
        <w:t xml:space="preserve">Public Interest Test </w:t>
      </w:r>
    </w:p>
    <w:p w14:paraId="01F98E47" w14:textId="77777777" w:rsidR="00904E3F" w:rsidRPr="0030559E" w:rsidRDefault="00904E3F" w:rsidP="00904E3F">
      <w:r>
        <w:t xml:space="preserve">There are a number of arguments </w:t>
      </w:r>
      <w:r w:rsidRPr="0030559E">
        <w:t>in support of disclosure</w:t>
      </w:r>
      <w:r>
        <w:t xml:space="preserve"> for example, disclosure of the requested information w</w:t>
      </w:r>
      <w:r w:rsidRPr="0030559E">
        <w:t>ould allow greater scrutiny of the way public funds are spent</w:t>
      </w:r>
      <w:r>
        <w:t xml:space="preserve">, it would increase </w:t>
      </w:r>
      <w:r w:rsidRPr="0030559E">
        <w:t xml:space="preserve">accountability and transparency </w:t>
      </w:r>
      <w:r>
        <w:t xml:space="preserve">and it is </w:t>
      </w:r>
      <w:r w:rsidRPr="0030559E">
        <w:t xml:space="preserve">in the public interest for Police Scotland to procure services competitively, to ensure best value for money. </w:t>
      </w:r>
    </w:p>
    <w:p w14:paraId="5DD3DB82" w14:textId="77777777" w:rsidR="00904E3F" w:rsidRPr="0030559E" w:rsidRDefault="00904E3F" w:rsidP="00904E3F">
      <w:r>
        <w:t>Additionally, there are several arguments in</w:t>
      </w:r>
      <w:r w:rsidRPr="0030559E">
        <w:t xml:space="preserve"> support of withholding the information</w:t>
      </w:r>
      <w:r>
        <w:t>, for example it w</w:t>
      </w:r>
      <w:r w:rsidRPr="0030559E">
        <w:t>ould be</w:t>
      </w:r>
      <w:r>
        <w:t xml:space="preserve"> unfair to disclose</w:t>
      </w:r>
      <w:r w:rsidRPr="0030559E">
        <w:t xml:space="preserve"> commercially</w:t>
      </w:r>
      <w:r>
        <w:t xml:space="preserve"> sensitive information</w:t>
      </w:r>
      <w:r w:rsidRPr="0030559E">
        <w:t xml:space="preserve"> </w:t>
      </w:r>
      <w:r>
        <w:t xml:space="preserve">which has the potential to </w:t>
      </w:r>
      <w:r w:rsidRPr="0030559E">
        <w:t xml:space="preserve">damage Police Scotland’s relationship with </w:t>
      </w:r>
      <w:r>
        <w:t>partners.</w:t>
      </w:r>
      <w:r w:rsidRPr="0030559E">
        <w:t xml:space="preserve"> </w:t>
      </w:r>
    </w:p>
    <w:p w14:paraId="4C7F0E2A" w14:textId="414F4E0E" w:rsidR="00904E3F" w:rsidRDefault="00904E3F" w:rsidP="00904E3F">
      <w:r w:rsidRPr="00AF2B38">
        <w:t>Axon’s IGDTA is an internal to Axon document and considered Commercially Sensitive by Axon as an internal document covering data transfers generally between Axon UK and Axon US and, whilst relevant to DESC data transfers, is not specific to DESC</w:t>
      </w:r>
      <w:r>
        <w:t>.</w:t>
      </w:r>
    </w:p>
    <w:p w14:paraId="3FB0D7F7" w14:textId="3877F83B" w:rsidR="00904E3F" w:rsidRPr="00433050" w:rsidRDefault="00904E3F" w:rsidP="00904E3F">
      <w:r w:rsidRPr="002B57A7">
        <w:t xml:space="preserve">As such, Police Scotland will not disclose any information that would impact </w:t>
      </w:r>
      <w:r>
        <w:t>their relationship with partners.</w:t>
      </w:r>
      <w:r w:rsidRPr="002B57A7">
        <w:t xml:space="preserve"> The public interest would not be served if it were no longer possible to engage companies if they believed that conducting business with Police Scotland would result in their confidential information being released</w:t>
      </w:r>
      <w:r w:rsidRPr="002B57A7">
        <w:rPr>
          <w:b/>
        </w:rPr>
        <w:t>.</w:t>
      </w:r>
    </w:p>
    <w:p w14:paraId="2BE90ED8" w14:textId="6D935B35" w:rsidR="00904E3F" w:rsidRDefault="00904E3F" w:rsidP="00AF2B38">
      <w:r>
        <w:t>Accordingly, such information will not be disclosed</w:t>
      </w:r>
      <w:r w:rsidRPr="002B57A7">
        <w:t xml:space="preserve"> wh</w:t>
      </w:r>
      <w:r>
        <w:t>ilst remaining relevant.</w:t>
      </w:r>
    </w:p>
    <w:p w14:paraId="656E333B" w14:textId="1A723F09" w:rsidR="00AF2B38" w:rsidRPr="00AF2B38" w:rsidRDefault="00AF2B38" w:rsidP="00AF2B38">
      <w:r w:rsidRPr="00AF2B38">
        <w:t>In relation to the non-Content data sub-processors, they have been certified for the UK Extension of the EU-US Data Privacy Framework (“DPF”) so an IDTA is not required in that instance</w:t>
      </w:r>
      <w:r>
        <w:t>.</w:t>
      </w:r>
    </w:p>
    <w:p w14:paraId="06B0F39F" w14:textId="77777777" w:rsidR="00BA3AE5" w:rsidRDefault="00BA3AE5" w:rsidP="00793DD5">
      <w:pPr>
        <w:tabs>
          <w:tab w:val="left" w:pos="5400"/>
        </w:tabs>
        <w:rPr>
          <w:rFonts w:eastAsiaTheme="majorEastAsia" w:cstheme="majorBidi"/>
          <w:b/>
          <w:color w:val="000000" w:themeColor="text1"/>
          <w:szCs w:val="26"/>
        </w:rPr>
      </w:pPr>
    </w:p>
    <w:p w14:paraId="392E7797" w14:textId="60E68609" w:rsidR="00BA3AE5" w:rsidRDefault="00AF2B38" w:rsidP="00793DD5">
      <w:pPr>
        <w:tabs>
          <w:tab w:val="left" w:pos="5400"/>
        </w:tabs>
      </w:pPr>
      <w:r w:rsidRPr="00AF2B38">
        <w:rPr>
          <w:rFonts w:eastAsiaTheme="majorEastAsia" w:cstheme="majorBidi"/>
          <w:b/>
          <w:color w:val="000000" w:themeColor="text1"/>
          <w:szCs w:val="26"/>
        </w:rPr>
        <w:t>4.Confirmation on whether Axon is still in possession of the encryption keys</w:t>
      </w:r>
    </w:p>
    <w:p w14:paraId="34BDABB8" w14:textId="3034E33B" w:rsidR="00255F1E" w:rsidRPr="00B11A55" w:rsidRDefault="00BA3AE5" w:rsidP="00793DD5">
      <w:pPr>
        <w:tabs>
          <w:tab w:val="left" w:pos="5400"/>
        </w:tabs>
      </w:pPr>
      <w:r w:rsidRPr="00BA3AE5">
        <w:t>Yes, Axon holds data encryption keys. The data is protected by defined technical, organisational, and procedural controls.</w:t>
      </w:r>
    </w:p>
    <w:p w14:paraId="34BDABBD" w14:textId="77777777" w:rsidR="00BF6B81"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2C08E5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740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CE2130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740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28D4F8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740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846182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740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4BE0A9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740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12A29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740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3F3FD3"/>
    <w:rsid w:val="004010DC"/>
    <w:rsid w:val="004341F0"/>
    <w:rsid w:val="00456324"/>
    <w:rsid w:val="00464084"/>
    <w:rsid w:val="00475460"/>
    <w:rsid w:val="00490317"/>
    <w:rsid w:val="00491644"/>
    <w:rsid w:val="00496A08"/>
    <w:rsid w:val="004D242C"/>
    <w:rsid w:val="004E1605"/>
    <w:rsid w:val="004F653C"/>
    <w:rsid w:val="00540A52"/>
    <w:rsid w:val="00557306"/>
    <w:rsid w:val="00645CFA"/>
    <w:rsid w:val="00657A5E"/>
    <w:rsid w:val="006C0D37"/>
    <w:rsid w:val="006D5799"/>
    <w:rsid w:val="00743BB0"/>
    <w:rsid w:val="00750D83"/>
    <w:rsid w:val="00752ED6"/>
    <w:rsid w:val="00785DBC"/>
    <w:rsid w:val="007875DE"/>
    <w:rsid w:val="00793DD5"/>
    <w:rsid w:val="007D55F6"/>
    <w:rsid w:val="007F490F"/>
    <w:rsid w:val="0086779C"/>
    <w:rsid w:val="00874BFD"/>
    <w:rsid w:val="008964EF"/>
    <w:rsid w:val="008A051A"/>
    <w:rsid w:val="00904E3F"/>
    <w:rsid w:val="00915E01"/>
    <w:rsid w:val="00922797"/>
    <w:rsid w:val="009631A4"/>
    <w:rsid w:val="00977296"/>
    <w:rsid w:val="00A061E3"/>
    <w:rsid w:val="00A25E93"/>
    <w:rsid w:val="00A320FF"/>
    <w:rsid w:val="00A6740D"/>
    <w:rsid w:val="00A70AC0"/>
    <w:rsid w:val="00A84EA9"/>
    <w:rsid w:val="00AC443C"/>
    <w:rsid w:val="00AE4FAC"/>
    <w:rsid w:val="00AE741E"/>
    <w:rsid w:val="00AF2B38"/>
    <w:rsid w:val="00B06D95"/>
    <w:rsid w:val="00B11A55"/>
    <w:rsid w:val="00B17211"/>
    <w:rsid w:val="00B461B2"/>
    <w:rsid w:val="00B654B6"/>
    <w:rsid w:val="00B71B3C"/>
    <w:rsid w:val="00BA3AE5"/>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E2373"/>
    <w:rsid w:val="00EF4761"/>
    <w:rsid w:val="00EF6523"/>
    <w:rsid w:val="00F06910"/>
    <w:rsid w:val="00F21D44"/>
    <w:rsid w:val="00F72FE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670</Words>
  <Characters>3823</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2024-11-19T10:43:00Z</cp:lastPrinted>
  <dcterms:created xsi:type="dcterms:W3CDTF">2024-06-24T12:04:00Z</dcterms:created>
  <dcterms:modified xsi:type="dcterms:W3CDTF">2024-11-19T10:43:00Z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