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E2690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1615A">
              <w:t>0566</w:t>
            </w:r>
          </w:p>
          <w:p w14:paraId="34BDABA6" w14:textId="19ABE23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6A44">
              <w:t>06</w:t>
            </w:r>
            <w:r w:rsidR="006D5799">
              <w:t xml:space="preserve"> </w:t>
            </w:r>
            <w:r w:rsidR="00C1615A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7460A3" w14:textId="77777777" w:rsidR="00C1615A" w:rsidRPr="00C1615A" w:rsidRDefault="00C1615A" w:rsidP="00C1615A">
      <w:pPr>
        <w:pStyle w:val="Heading2"/>
      </w:pPr>
      <w:r w:rsidRPr="00C1615A">
        <w:t>I would like to know on 24</w:t>
      </w:r>
      <w:r w:rsidRPr="00C1615A">
        <w:rPr>
          <w:vertAlign w:val="superscript"/>
        </w:rPr>
        <w:t>th</w:t>
      </w:r>
      <w:r w:rsidRPr="00C1615A">
        <w:t xml:space="preserve"> January 2025 during Red Warning Weather Day –</w:t>
      </w:r>
    </w:p>
    <w:p w14:paraId="198EB65A" w14:textId="77777777" w:rsidR="00C1615A" w:rsidRPr="00C1615A" w:rsidRDefault="00C1615A" w:rsidP="00C1615A">
      <w:pPr>
        <w:pStyle w:val="Heading2"/>
      </w:pPr>
      <w:r w:rsidRPr="00C1615A">
        <w:t>How many Police Staff where granted Special Leave, broken down by division and special leave category.</w:t>
      </w:r>
    </w:p>
    <w:p w14:paraId="5CFC6EAE" w14:textId="25514880" w:rsidR="00E57104" w:rsidRDefault="009353A9" w:rsidP="009353A9">
      <w:r>
        <w:t xml:space="preserve">In response to your request, the table below details Police Scotland staff granted special leave </w:t>
      </w:r>
      <w:r w:rsidR="00E57104">
        <w:t>on</w:t>
      </w:r>
      <w:r>
        <w:t xml:space="preserve"> 24 January 2025</w:t>
      </w:r>
      <w:r w:rsidR="00E57104">
        <w:t>,</w:t>
      </w:r>
      <w:r>
        <w:t xml:space="preserve"> broken down by Division and special leave category as </w:t>
      </w:r>
      <w:r w:rsidRPr="009353A9">
        <w:t xml:space="preserve">recorded on </w:t>
      </w:r>
      <w:r w:rsidR="00E57104">
        <w:t xml:space="preserve">our </w:t>
      </w:r>
      <w:r w:rsidRPr="009353A9">
        <w:t xml:space="preserve">SCOPE </w:t>
      </w:r>
      <w:r>
        <w:t xml:space="preserve">system.  </w:t>
      </w:r>
    </w:p>
    <w:p w14:paraId="395390B1" w14:textId="389F93F8" w:rsidR="009353A9" w:rsidRPr="009353A9" w:rsidRDefault="009353A9" w:rsidP="009353A9">
      <w:r>
        <w:t>Please note</w:t>
      </w:r>
      <w:r w:rsidRPr="009353A9">
        <w:t xml:space="preserve"> that some line managers may have granted leave but not recorded it formally</w:t>
      </w:r>
      <w:r>
        <w:t>.</w:t>
      </w:r>
    </w:p>
    <w:tbl>
      <w:tblPr>
        <w:tblStyle w:val="TableGrid"/>
        <w:tblW w:w="9742" w:type="dxa"/>
        <w:tblLook w:val="04A0" w:firstRow="1" w:lastRow="0" w:firstColumn="1" w:lastColumn="0" w:noHBand="0" w:noVBand="1"/>
        <w:tblCaption w:val="Police Staff recorded as on Special Leave, broken down by division and special leave category as at 24/1/25"/>
        <w:tblDescription w:val="Police Staff recorded as on Special Leave, broken down by division and special leave category as at 24/1/25&#10;"/>
      </w:tblPr>
      <w:tblGrid>
        <w:gridCol w:w="2122"/>
        <w:gridCol w:w="6662"/>
        <w:gridCol w:w="958"/>
      </w:tblGrid>
      <w:tr w:rsidR="00C1615A" w:rsidRPr="00557306" w14:paraId="34BDABB1" w14:textId="77777777" w:rsidTr="000D69A0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34BDABAC" w14:textId="2175CA71" w:rsidR="00C1615A" w:rsidRPr="009353A9" w:rsidRDefault="00C1615A" w:rsidP="000D69A0">
            <w:pPr>
              <w:pStyle w:val="Heading2"/>
              <w:spacing w:line="240" w:lineRule="auto"/>
            </w:pPr>
            <w:r w:rsidRPr="009353A9">
              <w:t>Division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4BDABAD" w14:textId="4ED32697" w:rsidR="00C1615A" w:rsidRPr="009353A9" w:rsidRDefault="00C1615A" w:rsidP="000D69A0">
            <w:pPr>
              <w:pStyle w:val="Heading2"/>
              <w:spacing w:line="240" w:lineRule="auto"/>
            </w:pPr>
            <w:r w:rsidRPr="009353A9">
              <w:t>Special Leave reason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4BDABAE" w14:textId="3A571358" w:rsidR="00C1615A" w:rsidRPr="009353A9" w:rsidRDefault="00C1615A" w:rsidP="000D69A0">
            <w:pPr>
              <w:pStyle w:val="Heading2"/>
              <w:spacing w:line="240" w:lineRule="auto"/>
            </w:pPr>
            <w:r w:rsidRPr="009353A9">
              <w:t xml:space="preserve">Police Staff </w:t>
            </w:r>
          </w:p>
        </w:tc>
      </w:tr>
      <w:tr w:rsidR="00C1615A" w14:paraId="34BDABB7" w14:textId="77777777" w:rsidTr="000D69A0">
        <w:tc>
          <w:tcPr>
            <w:tcW w:w="2122" w:type="dxa"/>
          </w:tcPr>
          <w:p w14:paraId="34BDABB2" w14:textId="053A1517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A Division</w:t>
            </w:r>
          </w:p>
        </w:tc>
        <w:tc>
          <w:tcPr>
            <w:tcW w:w="6662" w:type="dxa"/>
          </w:tcPr>
          <w:p w14:paraId="34BDABB3" w14:textId="73956B4D" w:rsidR="00C1615A" w:rsidRDefault="00C1615A" w:rsidP="000D69A0">
            <w:pPr>
              <w:tabs>
                <w:tab w:val="left" w:pos="5400"/>
              </w:tabs>
              <w:spacing w:line="240" w:lineRule="auto"/>
            </w:pPr>
            <w:proofErr w:type="spellStart"/>
            <w:r w:rsidRPr="00862322">
              <w:t>Castlebrae</w:t>
            </w:r>
            <w:proofErr w:type="spellEnd"/>
            <w:r w:rsidRPr="00862322">
              <w:t>/</w:t>
            </w:r>
            <w:r w:rsidR="00E57104">
              <w:t xml:space="preserve"> </w:t>
            </w:r>
            <w:r w:rsidRPr="00862322">
              <w:t>Harrogate and Phased return to work</w:t>
            </w:r>
          </w:p>
        </w:tc>
        <w:tc>
          <w:tcPr>
            <w:tcW w:w="958" w:type="dxa"/>
          </w:tcPr>
          <w:p w14:paraId="34BDABB4" w14:textId="37A10AB4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2</w:t>
            </w:r>
          </w:p>
        </w:tc>
      </w:tr>
      <w:tr w:rsidR="00C1615A" w14:paraId="794B5F59" w14:textId="77777777" w:rsidTr="000D69A0">
        <w:tc>
          <w:tcPr>
            <w:tcW w:w="2122" w:type="dxa"/>
          </w:tcPr>
          <w:p w14:paraId="084E177E" w14:textId="38246652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Contact Command and Control Division</w:t>
            </w:r>
          </w:p>
        </w:tc>
        <w:tc>
          <w:tcPr>
            <w:tcW w:w="6662" w:type="dxa"/>
          </w:tcPr>
          <w:p w14:paraId="36E7E35D" w14:textId="677623D7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Carers leave (paid), Compassionate leave (paid), Medical appointment/examinations (paid), Phased return to work, Time off for dependants/emergencies (paid)</w:t>
            </w:r>
          </w:p>
        </w:tc>
        <w:tc>
          <w:tcPr>
            <w:tcW w:w="958" w:type="dxa"/>
          </w:tcPr>
          <w:p w14:paraId="790A2F2A" w14:textId="3A49D6F5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23</w:t>
            </w:r>
          </w:p>
        </w:tc>
      </w:tr>
      <w:tr w:rsidR="00C1615A" w14:paraId="308FAFA4" w14:textId="77777777" w:rsidTr="000D69A0">
        <w:tc>
          <w:tcPr>
            <w:tcW w:w="2122" w:type="dxa"/>
          </w:tcPr>
          <w:p w14:paraId="6C024C52" w14:textId="3DC84567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Corporate Services Division</w:t>
            </w:r>
          </w:p>
        </w:tc>
        <w:tc>
          <w:tcPr>
            <w:tcW w:w="6662" w:type="dxa"/>
          </w:tcPr>
          <w:p w14:paraId="2F36D2BC" w14:textId="471B566F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Compassionate leave (paid), Phased return to work, Time off for dependants/emergencies (paid)</w:t>
            </w:r>
          </w:p>
        </w:tc>
        <w:tc>
          <w:tcPr>
            <w:tcW w:w="958" w:type="dxa"/>
          </w:tcPr>
          <w:p w14:paraId="653F5454" w14:textId="7ECFCE3E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3</w:t>
            </w:r>
          </w:p>
        </w:tc>
      </w:tr>
      <w:tr w:rsidR="00C1615A" w14:paraId="6472F863" w14:textId="77777777" w:rsidTr="000D69A0">
        <w:tc>
          <w:tcPr>
            <w:tcW w:w="2122" w:type="dxa"/>
          </w:tcPr>
          <w:p w14:paraId="1351ECF0" w14:textId="05280C46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Criminal Justice Service Division</w:t>
            </w:r>
          </w:p>
        </w:tc>
        <w:tc>
          <w:tcPr>
            <w:tcW w:w="6662" w:type="dxa"/>
          </w:tcPr>
          <w:p w14:paraId="48FB7C2B" w14:textId="6C6B94B2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Carers Leave (paid), Compassionate leave (paid), Medical appointment/examinations (paid), Phased return to work, Time off for dependants/emergencies (paid)</w:t>
            </w:r>
          </w:p>
        </w:tc>
        <w:tc>
          <w:tcPr>
            <w:tcW w:w="958" w:type="dxa"/>
          </w:tcPr>
          <w:p w14:paraId="72D7544F" w14:textId="76346480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23</w:t>
            </w:r>
          </w:p>
        </w:tc>
      </w:tr>
      <w:tr w:rsidR="00C1615A" w14:paraId="4E8CB614" w14:textId="77777777" w:rsidTr="000D69A0">
        <w:tc>
          <w:tcPr>
            <w:tcW w:w="2122" w:type="dxa"/>
          </w:tcPr>
          <w:p w14:paraId="6C811323" w14:textId="53007BCF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E Division</w:t>
            </w:r>
          </w:p>
        </w:tc>
        <w:tc>
          <w:tcPr>
            <w:tcW w:w="6662" w:type="dxa"/>
          </w:tcPr>
          <w:p w14:paraId="2EC8124A" w14:textId="549A9109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Phased return to work</w:t>
            </w:r>
          </w:p>
        </w:tc>
        <w:tc>
          <w:tcPr>
            <w:tcW w:w="958" w:type="dxa"/>
          </w:tcPr>
          <w:p w14:paraId="4C725C00" w14:textId="48BAE222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1</w:t>
            </w:r>
          </w:p>
        </w:tc>
      </w:tr>
      <w:tr w:rsidR="00C1615A" w14:paraId="1F5C23E8" w14:textId="77777777" w:rsidTr="000D69A0">
        <w:tc>
          <w:tcPr>
            <w:tcW w:w="2122" w:type="dxa"/>
          </w:tcPr>
          <w:p w14:paraId="07320199" w14:textId="4482005A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J Division</w:t>
            </w:r>
          </w:p>
        </w:tc>
        <w:tc>
          <w:tcPr>
            <w:tcW w:w="6662" w:type="dxa"/>
          </w:tcPr>
          <w:p w14:paraId="24740660" w14:textId="4A5459E8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Phased return to work, Time off for dependants/emergencies (paid)</w:t>
            </w:r>
          </w:p>
        </w:tc>
        <w:tc>
          <w:tcPr>
            <w:tcW w:w="958" w:type="dxa"/>
          </w:tcPr>
          <w:p w14:paraId="122568C5" w14:textId="2109F1A0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2</w:t>
            </w:r>
          </w:p>
        </w:tc>
      </w:tr>
      <w:tr w:rsidR="00C1615A" w14:paraId="7B8A53BE" w14:textId="77777777" w:rsidTr="000D69A0">
        <w:tc>
          <w:tcPr>
            <w:tcW w:w="2122" w:type="dxa"/>
          </w:tcPr>
          <w:p w14:paraId="2CDA2F82" w14:textId="15874086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N Division</w:t>
            </w:r>
          </w:p>
        </w:tc>
        <w:tc>
          <w:tcPr>
            <w:tcW w:w="6662" w:type="dxa"/>
          </w:tcPr>
          <w:p w14:paraId="495D58DB" w14:textId="00C30D68" w:rsidR="00C1615A" w:rsidRDefault="00C1615A" w:rsidP="000D69A0">
            <w:pPr>
              <w:tabs>
                <w:tab w:val="left" w:pos="5400"/>
              </w:tabs>
              <w:spacing w:line="240" w:lineRule="auto"/>
            </w:pPr>
            <w:proofErr w:type="spellStart"/>
            <w:r w:rsidRPr="00862322">
              <w:t>Castlebrae</w:t>
            </w:r>
            <w:proofErr w:type="spellEnd"/>
            <w:r w:rsidRPr="00862322">
              <w:t>/Harrogate</w:t>
            </w:r>
          </w:p>
        </w:tc>
        <w:tc>
          <w:tcPr>
            <w:tcW w:w="958" w:type="dxa"/>
          </w:tcPr>
          <w:p w14:paraId="1D26A01A" w14:textId="55E5EF26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1</w:t>
            </w:r>
          </w:p>
        </w:tc>
      </w:tr>
      <w:tr w:rsidR="00C1615A" w14:paraId="74332896" w14:textId="77777777" w:rsidTr="000D69A0">
        <w:tc>
          <w:tcPr>
            <w:tcW w:w="2122" w:type="dxa"/>
          </w:tcPr>
          <w:p w14:paraId="04BB9A9C" w14:textId="711470A0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Operational Support Division</w:t>
            </w:r>
          </w:p>
        </w:tc>
        <w:tc>
          <w:tcPr>
            <w:tcW w:w="6662" w:type="dxa"/>
          </w:tcPr>
          <w:p w14:paraId="2C270C71" w14:textId="38319E0A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Study leave (paid), Time off for dependants/emergencies (paid)</w:t>
            </w:r>
          </w:p>
        </w:tc>
        <w:tc>
          <w:tcPr>
            <w:tcW w:w="958" w:type="dxa"/>
          </w:tcPr>
          <w:p w14:paraId="7115269C" w14:textId="6288BF78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3</w:t>
            </w:r>
          </w:p>
        </w:tc>
      </w:tr>
      <w:tr w:rsidR="00C1615A" w14:paraId="27B4F522" w14:textId="77777777" w:rsidTr="000D69A0">
        <w:tc>
          <w:tcPr>
            <w:tcW w:w="2122" w:type="dxa"/>
          </w:tcPr>
          <w:p w14:paraId="02949B3C" w14:textId="332656A1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P Division</w:t>
            </w:r>
          </w:p>
        </w:tc>
        <w:tc>
          <w:tcPr>
            <w:tcW w:w="6662" w:type="dxa"/>
          </w:tcPr>
          <w:p w14:paraId="1A140034" w14:textId="60D637E0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Compassionate leave (paid)</w:t>
            </w:r>
          </w:p>
        </w:tc>
        <w:tc>
          <w:tcPr>
            <w:tcW w:w="958" w:type="dxa"/>
          </w:tcPr>
          <w:p w14:paraId="0C587ABC" w14:textId="152A80F7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1</w:t>
            </w:r>
          </w:p>
        </w:tc>
      </w:tr>
      <w:tr w:rsidR="00C1615A" w14:paraId="62D5673F" w14:textId="77777777" w:rsidTr="000D69A0">
        <w:tc>
          <w:tcPr>
            <w:tcW w:w="2122" w:type="dxa"/>
          </w:tcPr>
          <w:p w14:paraId="642CDFDB" w14:textId="1AA24F7C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lastRenderedPageBreak/>
              <w:t>Scottish Police Authority</w:t>
            </w:r>
          </w:p>
        </w:tc>
        <w:tc>
          <w:tcPr>
            <w:tcW w:w="6662" w:type="dxa"/>
          </w:tcPr>
          <w:p w14:paraId="2894D1D7" w14:textId="5FD01406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Carers Leave (paid), Phased return to work, Time off for dependants/emergencies (paid)</w:t>
            </w:r>
          </w:p>
        </w:tc>
        <w:tc>
          <w:tcPr>
            <w:tcW w:w="958" w:type="dxa"/>
          </w:tcPr>
          <w:p w14:paraId="7042F38E" w14:textId="4C9D0B10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5</w:t>
            </w:r>
          </w:p>
        </w:tc>
      </w:tr>
      <w:tr w:rsidR="00C1615A" w14:paraId="1DB87280" w14:textId="77777777" w:rsidTr="000D69A0">
        <w:tc>
          <w:tcPr>
            <w:tcW w:w="2122" w:type="dxa"/>
          </w:tcPr>
          <w:p w14:paraId="2FE6C3F7" w14:textId="3FBE3955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Specialist Crime Division</w:t>
            </w:r>
          </w:p>
        </w:tc>
        <w:tc>
          <w:tcPr>
            <w:tcW w:w="6662" w:type="dxa"/>
          </w:tcPr>
          <w:p w14:paraId="42F899AC" w14:textId="7FAA4785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 xml:space="preserve">Carers Leave (paid), Compassionate leave (paid), Time off for dependants/emergencies (paid), Phased return to work, </w:t>
            </w:r>
            <w:proofErr w:type="gramStart"/>
            <w:r w:rsidRPr="00862322">
              <w:t>Medical</w:t>
            </w:r>
            <w:proofErr w:type="gramEnd"/>
            <w:r w:rsidRPr="00862322">
              <w:t xml:space="preserve"> appointment/examinations (paid)</w:t>
            </w:r>
          </w:p>
        </w:tc>
        <w:tc>
          <w:tcPr>
            <w:tcW w:w="958" w:type="dxa"/>
          </w:tcPr>
          <w:p w14:paraId="562C2523" w14:textId="4286AAC2" w:rsidR="00C1615A" w:rsidRDefault="00C1615A" w:rsidP="000D69A0">
            <w:pPr>
              <w:tabs>
                <w:tab w:val="left" w:pos="5400"/>
              </w:tabs>
              <w:spacing w:line="240" w:lineRule="auto"/>
            </w:pPr>
            <w:r w:rsidRPr="00862322">
              <w:t>8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F1F6F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69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F1784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69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7D525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69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9FA7D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69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8F832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69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0ADE5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69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76D6"/>
    <w:rsid w:val="000D69A0"/>
    <w:rsid w:val="000E2F19"/>
    <w:rsid w:val="000E6526"/>
    <w:rsid w:val="00141533"/>
    <w:rsid w:val="001458D5"/>
    <w:rsid w:val="00167528"/>
    <w:rsid w:val="00195CC4"/>
    <w:rsid w:val="00207326"/>
    <w:rsid w:val="00253DF6"/>
    <w:rsid w:val="00255F1E"/>
    <w:rsid w:val="002D0227"/>
    <w:rsid w:val="0036503B"/>
    <w:rsid w:val="00376A4A"/>
    <w:rsid w:val="003B60B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16BB"/>
    <w:rsid w:val="00540A52"/>
    <w:rsid w:val="00557306"/>
    <w:rsid w:val="00645CFA"/>
    <w:rsid w:val="00676A44"/>
    <w:rsid w:val="00685219"/>
    <w:rsid w:val="006D5799"/>
    <w:rsid w:val="00740E1E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53A9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15A"/>
    <w:rsid w:val="00C1679F"/>
    <w:rsid w:val="00C606A2"/>
    <w:rsid w:val="00C63872"/>
    <w:rsid w:val="00C84948"/>
    <w:rsid w:val="00C84AFC"/>
    <w:rsid w:val="00C94ED8"/>
    <w:rsid w:val="00CF1111"/>
    <w:rsid w:val="00D05706"/>
    <w:rsid w:val="00D27DC5"/>
    <w:rsid w:val="00D47E36"/>
    <w:rsid w:val="00E55D79"/>
    <w:rsid w:val="00E57104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2568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2025-02-27T22:12:00Z</dcterms:created>
  <dcterms:modified xsi:type="dcterms:W3CDTF">2025-03-06T15:26:00Z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