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86B4C9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A62D8">
              <w:t>0039</w:t>
            </w:r>
          </w:p>
          <w:p w14:paraId="34BDABA6" w14:textId="11A525C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562A5">
              <w:t xml:space="preserve">04 March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D01BEB4" w14:textId="13AFF4A5" w:rsidR="008369A8" w:rsidRPr="009A62D8" w:rsidRDefault="009A62D8" w:rsidP="009A62D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A62D8">
        <w:rPr>
          <w:rFonts w:eastAsiaTheme="majorEastAsia" w:cstheme="majorBidi"/>
          <w:b/>
          <w:color w:val="000000" w:themeColor="text1"/>
          <w:szCs w:val="26"/>
        </w:rPr>
        <w:t>I am submitting an FOI request for the following information relating to smoking in cars.</w:t>
      </w:r>
      <w:r w:rsidR="00251E43">
        <w:rPr>
          <w:rFonts w:eastAsiaTheme="majorEastAsia" w:cstheme="majorBidi"/>
          <w:b/>
          <w:color w:val="000000" w:themeColor="text1"/>
          <w:szCs w:val="26"/>
        </w:rPr>
        <w:t xml:space="preserve">  </w:t>
      </w:r>
      <w:r w:rsidR="008369A8" w:rsidRPr="009A62D8">
        <w:rPr>
          <w:rFonts w:eastAsiaTheme="majorEastAsia" w:cstheme="majorBidi"/>
          <w:b/>
          <w:color w:val="000000" w:themeColor="text1"/>
          <w:szCs w:val="26"/>
        </w:rPr>
        <w:t>Please return data broken down and split annually from 1st January 2015 to 31st December 2024.</w:t>
      </w:r>
    </w:p>
    <w:p w14:paraId="5F61C16A" w14:textId="02A3A6DB" w:rsidR="009A62D8" w:rsidRPr="00251E43" w:rsidRDefault="009A62D8" w:rsidP="00251E43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51E43">
        <w:rPr>
          <w:rFonts w:eastAsiaTheme="majorEastAsia" w:cstheme="majorBidi"/>
          <w:b/>
          <w:color w:val="000000" w:themeColor="text1"/>
          <w:szCs w:val="26"/>
        </w:rPr>
        <w:t>How many fines and fixed penalty notices has your force issued under the Children and Families Act 2014 for smoking in a private vehicle with children (under 18 years old) present?</w:t>
      </w:r>
    </w:p>
    <w:p w14:paraId="4905E21B" w14:textId="51DF843F" w:rsidR="009A62D8" w:rsidRPr="00251E43" w:rsidRDefault="009A62D8" w:rsidP="00251E43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51E43">
        <w:rPr>
          <w:rFonts w:eastAsiaTheme="majorEastAsia" w:cstheme="majorBidi"/>
          <w:b/>
          <w:color w:val="000000" w:themeColor="text1"/>
          <w:szCs w:val="26"/>
        </w:rPr>
        <w:t>How many incidents and warnings under the Children and Families Act 2014 for smoking in a private vehicle with children (under 18 years old) present has your force identified?</w:t>
      </w:r>
    </w:p>
    <w:p w14:paraId="71A76925" w14:textId="00C1ACE3" w:rsidR="00A53CFD" w:rsidRDefault="00251E43" w:rsidP="009A62D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In relation to Direct Measures (Fixed Penalty Notices (FPNs) and Recorded Police Warnings (RPWs)), t</w:t>
      </w:r>
      <w:r w:rsidR="00A53CFD"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="00A53CFD"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="00A53CFD"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 </w:t>
      </w:r>
      <w:r w:rsidR="00A53CFD" w:rsidRPr="00A53CFD">
        <w:rPr>
          <w:rFonts w:eastAsiaTheme="majorEastAsia" w:cstheme="majorBidi"/>
          <w:bCs/>
          <w:color w:val="000000" w:themeColor="text1"/>
          <w:szCs w:val="26"/>
        </w:rPr>
        <w:t xml:space="preserve">By way of explanation, this offence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is not one for which a Direct Measure can be applied. - </w:t>
      </w:r>
      <w:hyperlink r:id="rId11" w:anchor="eligible-offences" w:history="1">
        <w:r>
          <w:rPr>
            <w:rStyle w:val="Hyperlink"/>
            <w:rFonts w:eastAsiaTheme="majorEastAsia" w:cstheme="majorBidi"/>
            <w:bCs/>
            <w:szCs w:val="26"/>
          </w:rPr>
          <w:t>Lord Advocate's guidelines on police direct measures | COPFS</w:t>
        </w:r>
      </w:hyperlink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49ED2D06" w14:textId="7601E667" w:rsidR="00251E43" w:rsidRPr="00251E43" w:rsidRDefault="00251E43" w:rsidP="00251E43">
      <w:r>
        <w:rPr>
          <w:rFonts w:eastAsiaTheme="majorEastAsia" w:cstheme="majorBidi"/>
          <w:bCs/>
          <w:color w:val="000000" w:themeColor="text1"/>
          <w:szCs w:val="26"/>
        </w:rPr>
        <w:t xml:space="preserve">In relation to incidents, there is no incident classification that directly aligns to your request and all potentially relevant incidents would therefore have to be individually reviewed - tens of thousands for the period.  </w:t>
      </w:r>
      <w:r>
        <w:t>Unfortunately</w:t>
      </w:r>
      <w:r w:rsidR="0048758A">
        <w:t>,</w:t>
      </w:r>
      <w:r>
        <w:t xml:space="preserve"> therefore,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comply with it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7925F366" w14:textId="4B13A249" w:rsidR="00A53CFD" w:rsidRDefault="00284A14" w:rsidP="00A53CF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 can, however, provide recorded crime</w:t>
      </w:r>
      <w:r w:rsidR="00251E43">
        <w:rPr>
          <w:rFonts w:eastAsiaTheme="majorEastAsia" w:cstheme="majorBidi"/>
          <w:bCs/>
          <w:color w:val="000000" w:themeColor="text1"/>
          <w:szCs w:val="26"/>
        </w:rPr>
        <w:t xml:space="preserve"> data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for the offence smoking in car with child. </w:t>
      </w:r>
      <w:r w:rsidR="00251E43">
        <w:rPr>
          <w:rFonts w:eastAsiaTheme="majorEastAsia" w:cstheme="majorBidi"/>
          <w:bCs/>
          <w:color w:val="000000" w:themeColor="text1"/>
          <w:szCs w:val="26"/>
        </w:rPr>
        <w:br/>
      </w:r>
      <w:r w:rsidR="00A53CFD">
        <w:rPr>
          <w:rFonts w:eastAsiaTheme="majorEastAsia" w:cstheme="majorBidi"/>
          <w:bCs/>
          <w:color w:val="000000" w:themeColor="text1"/>
          <w:szCs w:val="26"/>
        </w:rPr>
        <w:t>Th</w:t>
      </w:r>
      <w:r w:rsidR="00251E43">
        <w:rPr>
          <w:rFonts w:eastAsiaTheme="majorEastAsia" w:cstheme="majorBidi"/>
          <w:bCs/>
          <w:color w:val="000000" w:themeColor="text1"/>
          <w:szCs w:val="26"/>
        </w:rPr>
        <w:t>e</w:t>
      </w:r>
      <w:r w:rsidR="00A53CFD">
        <w:rPr>
          <w:rFonts w:eastAsiaTheme="majorEastAsia" w:cstheme="majorBidi"/>
          <w:bCs/>
          <w:color w:val="000000" w:themeColor="text1"/>
          <w:szCs w:val="26"/>
        </w:rPr>
        <w:t xml:space="preserve"> offence was implemented on 5 December 2016, therefore</w:t>
      </w:r>
      <w:r w:rsidR="00A53CFD" w:rsidRPr="008369A8">
        <w:rPr>
          <w:rFonts w:eastAsiaTheme="majorEastAsia" w:cstheme="majorBidi"/>
          <w:bCs/>
          <w:color w:val="000000" w:themeColor="text1"/>
          <w:szCs w:val="26"/>
        </w:rPr>
        <w:t xml:space="preserve"> information </w:t>
      </w:r>
      <w:r w:rsidR="00251E43">
        <w:rPr>
          <w:rFonts w:eastAsiaTheme="majorEastAsia" w:cstheme="majorBidi"/>
          <w:bCs/>
          <w:color w:val="000000" w:themeColor="text1"/>
          <w:szCs w:val="26"/>
        </w:rPr>
        <w:t>for the period prior</w:t>
      </w:r>
      <w:r w:rsidR="00A53CFD">
        <w:rPr>
          <w:rFonts w:eastAsiaTheme="majorEastAsia" w:cstheme="majorBidi"/>
          <w:bCs/>
          <w:color w:val="000000" w:themeColor="text1"/>
          <w:szCs w:val="26"/>
        </w:rPr>
        <w:t xml:space="preserve"> is not held by </w:t>
      </w:r>
      <w:r w:rsidR="00A53CFD"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="00A53CFD">
        <w:rPr>
          <w:rFonts w:eastAsiaTheme="majorEastAsia" w:cstheme="majorBidi"/>
          <w:bCs/>
          <w:color w:val="000000" w:themeColor="text1"/>
          <w:szCs w:val="26"/>
        </w:rPr>
        <w:t>and section 17 of the Act</w:t>
      </w:r>
      <w:r>
        <w:rPr>
          <w:rFonts w:eastAsiaTheme="majorEastAsia" w:cstheme="majorBidi"/>
          <w:bCs/>
          <w:color w:val="000000" w:themeColor="text1"/>
          <w:szCs w:val="26"/>
        </w:rPr>
        <w:t>, again</w:t>
      </w:r>
      <w:r w:rsidR="00A53CFD">
        <w:rPr>
          <w:rFonts w:eastAsiaTheme="majorEastAsia" w:cstheme="majorBidi"/>
          <w:bCs/>
          <w:color w:val="000000" w:themeColor="text1"/>
          <w:szCs w:val="26"/>
        </w:rPr>
        <w:t xml:space="preserve"> applies.</w:t>
      </w:r>
    </w:p>
    <w:p w14:paraId="54955B8A" w14:textId="77777777" w:rsidR="00251E43" w:rsidRDefault="00251E43" w:rsidP="00A53CFD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</w:p>
    <w:p w14:paraId="02BE018E" w14:textId="77777777" w:rsidR="00251E43" w:rsidRDefault="00251E43" w:rsidP="00A53CFD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</w:p>
    <w:p w14:paraId="3FF78910" w14:textId="00E59627" w:rsidR="00A53CFD" w:rsidRPr="008321CF" w:rsidRDefault="00A53CFD" w:rsidP="00A53CFD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8321CF">
        <w:rPr>
          <w:rFonts w:eastAsiaTheme="majorEastAsia" w:cstheme="majorBidi"/>
          <w:bCs/>
          <w:i/>
          <w:iCs/>
          <w:color w:val="000000" w:themeColor="text1"/>
          <w:szCs w:val="26"/>
        </w:rPr>
        <w:lastRenderedPageBreak/>
        <w:t xml:space="preserve">Recorded Crime </w:t>
      </w:r>
      <w:r w:rsidR="00251E43">
        <w:rPr>
          <w:rFonts w:eastAsiaTheme="majorEastAsia" w:cstheme="majorBidi"/>
          <w:bCs/>
          <w:i/>
          <w:iCs/>
          <w:color w:val="000000" w:themeColor="text1"/>
          <w:szCs w:val="26"/>
        </w:rPr>
        <w:t>-</w:t>
      </w:r>
      <w:r w:rsidRPr="008321CF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Smoking in car with child </w:t>
      </w:r>
      <w:r w:rsidR="00251E43">
        <w:rPr>
          <w:rFonts w:eastAsiaTheme="majorEastAsia" w:cstheme="majorBidi"/>
          <w:bCs/>
          <w:i/>
          <w:iCs/>
          <w:color w:val="000000" w:themeColor="text1"/>
          <w:szCs w:val="26"/>
        </w:rPr>
        <w:t>-</w:t>
      </w:r>
      <w:r w:rsidRPr="008321CF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5 December 2016 </w:t>
      </w:r>
      <w:r w:rsidR="00251E43">
        <w:rPr>
          <w:rFonts w:eastAsiaTheme="majorEastAsia" w:cstheme="majorBidi"/>
          <w:bCs/>
          <w:i/>
          <w:iCs/>
          <w:color w:val="000000" w:themeColor="text1"/>
          <w:szCs w:val="26"/>
        </w:rPr>
        <w:t>-</w:t>
      </w:r>
      <w:r w:rsidRPr="008321CF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31 December 2024 (calendar years)</w:t>
      </w:r>
    </w:p>
    <w:tbl>
      <w:tblPr>
        <w:tblStyle w:val="TableGrid"/>
        <w:tblW w:w="6427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263"/>
        <w:gridCol w:w="5164"/>
      </w:tblGrid>
      <w:tr w:rsidR="00A53CFD" w:rsidRPr="00557306" w14:paraId="2EC4F351" w14:textId="77777777" w:rsidTr="0025578C">
        <w:trPr>
          <w:tblHeader/>
        </w:trPr>
        <w:tc>
          <w:tcPr>
            <w:tcW w:w="1263" w:type="dxa"/>
            <w:shd w:val="clear" w:color="auto" w:fill="D9D9D9" w:themeFill="background1" w:themeFillShade="D9"/>
          </w:tcPr>
          <w:p w14:paraId="16521224" w14:textId="77777777" w:rsidR="00A53CFD" w:rsidRPr="00557306" w:rsidRDefault="00A53CFD" w:rsidP="0025578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5164" w:type="dxa"/>
            <w:shd w:val="clear" w:color="auto" w:fill="D9D9D9" w:themeFill="background1" w:themeFillShade="D9"/>
          </w:tcPr>
          <w:p w14:paraId="658EB50F" w14:textId="77777777" w:rsidR="00A53CFD" w:rsidRPr="00557306" w:rsidRDefault="00A53CFD" w:rsidP="0025578C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Crime/ Offence - </w:t>
            </w:r>
            <w:r w:rsidRPr="008321CF">
              <w:rPr>
                <w:b/>
                <w:bCs/>
              </w:rPr>
              <w:t>Smoking in car with child</w:t>
            </w:r>
          </w:p>
        </w:tc>
      </w:tr>
      <w:tr w:rsidR="00A53CFD" w14:paraId="3B1DF2C5" w14:textId="77777777" w:rsidTr="0025578C">
        <w:tc>
          <w:tcPr>
            <w:tcW w:w="1263" w:type="dxa"/>
          </w:tcPr>
          <w:p w14:paraId="54B72F5C" w14:textId="77777777" w:rsidR="00A53CFD" w:rsidRDefault="00A53CFD" w:rsidP="0025578C">
            <w:pPr>
              <w:tabs>
                <w:tab w:val="left" w:pos="5400"/>
              </w:tabs>
              <w:spacing w:line="240" w:lineRule="auto"/>
              <w:jc w:val="center"/>
            </w:pPr>
            <w:r>
              <w:t>2016</w:t>
            </w:r>
          </w:p>
        </w:tc>
        <w:tc>
          <w:tcPr>
            <w:tcW w:w="5164" w:type="dxa"/>
          </w:tcPr>
          <w:p w14:paraId="12A0BA76" w14:textId="77777777" w:rsidR="00A53CFD" w:rsidRDefault="00A53CFD" w:rsidP="0025578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A53CFD" w14:paraId="23ED2D10" w14:textId="77777777" w:rsidTr="0025578C">
        <w:tc>
          <w:tcPr>
            <w:tcW w:w="1263" w:type="dxa"/>
          </w:tcPr>
          <w:p w14:paraId="06F7485C" w14:textId="77777777" w:rsidR="00A53CFD" w:rsidRDefault="00A53CFD" w:rsidP="0025578C">
            <w:pPr>
              <w:tabs>
                <w:tab w:val="left" w:pos="5400"/>
              </w:tabs>
              <w:spacing w:line="240" w:lineRule="auto"/>
              <w:jc w:val="center"/>
            </w:pPr>
            <w:r>
              <w:t>2017</w:t>
            </w:r>
          </w:p>
        </w:tc>
        <w:tc>
          <w:tcPr>
            <w:tcW w:w="5164" w:type="dxa"/>
          </w:tcPr>
          <w:p w14:paraId="579FAE43" w14:textId="77777777" w:rsidR="00A53CFD" w:rsidRDefault="00A53CFD" w:rsidP="0025578C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</w:tr>
      <w:tr w:rsidR="00A53CFD" w14:paraId="414BA199" w14:textId="77777777" w:rsidTr="0025578C">
        <w:tc>
          <w:tcPr>
            <w:tcW w:w="1263" w:type="dxa"/>
          </w:tcPr>
          <w:p w14:paraId="5CE687CB" w14:textId="77777777" w:rsidR="00A53CFD" w:rsidRDefault="00A53CFD" w:rsidP="0025578C">
            <w:pPr>
              <w:tabs>
                <w:tab w:val="left" w:pos="5400"/>
              </w:tabs>
              <w:spacing w:line="240" w:lineRule="auto"/>
              <w:jc w:val="center"/>
            </w:pPr>
            <w:r>
              <w:t>2018</w:t>
            </w:r>
          </w:p>
        </w:tc>
        <w:tc>
          <w:tcPr>
            <w:tcW w:w="5164" w:type="dxa"/>
          </w:tcPr>
          <w:p w14:paraId="12F44D71" w14:textId="77777777" w:rsidR="00A53CFD" w:rsidRDefault="00A53CFD" w:rsidP="0025578C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</w:tr>
      <w:tr w:rsidR="00A53CFD" w14:paraId="3D931DA9" w14:textId="77777777" w:rsidTr="0025578C">
        <w:tc>
          <w:tcPr>
            <w:tcW w:w="1263" w:type="dxa"/>
          </w:tcPr>
          <w:p w14:paraId="0D83313E" w14:textId="77777777" w:rsidR="00A53CFD" w:rsidRDefault="00A53CFD" w:rsidP="0025578C">
            <w:pPr>
              <w:tabs>
                <w:tab w:val="left" w:pos="5400"/>
              </w:tabs>
              <w:spacing w:line="240" w:lineRule="auto"/>
              <w:jc w:val="center"/>
            </w:pPr>
            <w:r>
              <w:t>2019</w:t>
            </w:r>
          </w:p>
        </w:tc>
        <w:tc>
          <w:tcPr>
            <w:tcW w:w="5164" w:type="dxa"/>
          </w:tcPr>
          <w:p w14:paraId="7D04D603" w14:textId="77777777" w:rsidR="00A53CFD" w:rsidRDefault="00A53CFD" w:rsidP="0025578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A53CFD" w14:paraId="3B8D1ED5" w14:textId="77777777" w:rsidTr="0025578C">
        <w:tc>
          <w:tcPr>
            <w:tcW w:w="1263" w:type="dxa"/>
          </w:tcPr>
          <w:p w14:paraId="4FE5BDE0" w14:textId="77777777" w:rsidR="00A53CFD" w:rsidRDefault="00A53CFD" w:rsidP="0025578C">
            <w:pPr>
              <w:tabs>
                <w:tab w:val="left" w:pos="5400"/>
              </w:tabs>
              <w:spacing w:line="240" w:lineRule="auto"/>
              <w:jc w:val="center"/>
            </w:pPr>
            <w:r>
              <w:t>2020</w:t>
            </w:r>
          </w:p>
        </w:tc>
        <w:tc>
          <w:tcPr>
            <w:tcW w:w="5164" w:type="dxa"/>
          </w:tcPr>
          <w:p w14:paraId="3BB22047" w14:textId="77777777" w:rsidR="00A53CFD" w:rsidRDefault="00A53CFD" w:rsidP="0025578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A53CFD" w14:paraId="78606301" w14:textId="77777777" w:rsidTr="0025578C">
        <w:tc>
          <w:tcPr>
            <w:tcW w:w="1263" w:type="dxa"/>
          </w:tcPr>
          <w:p w14:paraId="2FE49F75" w14:textId="77777777" w:rsidR="00A53CFD" w:rsidRDefault="00A53CFD" w:rsidP="0025578C">
            <w:pPr>
              <w:tabs>
                <w:tab w:val="left" w:pos="5400"/>
              </w:tabs>
              <w:spacing w:line="240" w:lineRule="auto"/>
              <w:jc w:val="center"/>
            </w:pPr>
            <w:r>
              <w:t>2021</w:t>
            </w:r>
          </w:p>
        </w:tc>
        <w:tc>
          <w:tcPr>
            <w:tcW w:w="5164" w:type="dxa"/>
          </w:tcPr>
          <w:p w14:paraId="70C60951" w14:textId="77777777" w:rsidR="00A53CFD" w:rsidRDefault="00A53CFD" w:rsidP="0025578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A53CFD" w14:paraId="53276F68" w14:textId="77777777" w:rsidTr="0025578C">
        <w:tc>
          <w:tcPr>
            <w:tcW w:w="1263" w:type="dxa"/>
          </w:tcPr>
          <w:p w14:paraId="24C323DD" w14:textId="77777777" w:rsidR="00A53CFD" w:rsidRDefault="00A53CFD" w:rsidP="0025578C">
            <w:pPr>
              <w:tabs>
                <w:tab w:val="left" w:pos="5400"/>
              </w:tabs>
              <w:spacing w:line="240" w:lineRule="auto"/>
              <w:jc w:val="center"/>
            </w:pPr>
            <w:r>
              <w:t>2022</w:t>
            </w:r>
          </w:p>
        </w:tc>
        <w:tc>
          <w:tcPr>
            <w:tcW w:w="5164" w:type="dxa"/>
          </w:tcPr>
          <w:p w14:paraId="6D438A8F" w14:textId="77777777" w:rsidR="00A53CFD" w:rsidRDefault="00A53CFD" w:rsidP="0025578C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</w:tr>
      <w:tr w:rsidR="00A53CFD" w14:paraId="3DFE6F89" w14:textId="77777777" w:rsidTr="0025578C">
        <w:tc>
          <w:tcPr>
            <w:tcW w:w="1263" w:type="dxa"/>
          </w:tcPr>
          <w:p w14:paraId="2AE9D282" w14:textId="77777777" w:rsidR="00A53CFD" w:rsidRDefault="00A53CFD" w:rsidP="0025578C">
            <w:pPr>
              <w:tabs>
                <w:tab w:val="left" w:pos="5400"/>
              </w:tabs>
              <w:spacing w:line="240" w:lineRule="auto"/>
              <w:jc w:val="center"/>
            </w:pPr>
            <w:r>
              <w:t>2023</w:t>
            </w:r>
          </w:p>
        </w:tc>
        <w:tc>
          <w:tcPr>
            <w:tcW w:w="5164" w:type="dxa"/>
          </w:tcPr>
          <w:p w14:paraId="673D8404" w14:textId="77777777" w:rsidR="00A53CFD" w:rsidRDefault="00A53CFD" w:rsidP="0025578C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</w:tr>
      <w:tr w:rsidR="00A53CFD" w14:paraId="5E734E5E" w14:textId="77777777" w:rsidTr="0025578C">
        <w:tc>
          <w:tcPr>
            <w:tcW w:w="1263" w:type="dxa"/>
          </w:tcPr>
          <w:p w14:paraId="6509ABB1" w14:textId="77777777" w:rsidR="00A53CFD" w:rsidRDefault="00A53CFD" w:rsidP="0025578C">
            <w:pPr>
              <w:tabs>
                <w:tab w:val="left" w:pos="5400"/>
              </w:tabs>
              <w:spacing w:line="240" w:lineRule="auto"/>
              <w:jc w:val="center"/>
            </w:pPr>
            <w:r>
              <w:t>2024</w:t>
            </w:r>
          </w:p>
        </w:tc>
        <w:tc>
          <w:tcPr>
            <w:tcW w:w="5164" w:type="dxa"/>
          </w:tcPr>
          <w:p w14:paraId="3F0C85BC" w14:textId="77777777" w:rsidR="00A53CFD" w:rsidRDefault="00A53CFD" w:rsidP="0025578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</w:tbl>
    <w:p w14:paraId="34BDABBD" w14:textId="075EDD95" w:rsidR="00BF6B81" w:rsidRPr="00251E43" w:rsidRDefault="00284A14" w:rsidP="00251E43">
      <w:pPr>
        <w:tabs>
          <w:tab w:val="left" w:pos="5400"/>
        </w:tabs>
        <w:spacing w:line="240" w:lineRule="auto"/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284A14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All statistics are provisional and should be treated as management information. </w:t>
      </w:r>
      <w:r w:rsidR="00251E43">
        <w:rPr>
          <w:rFonts w:eastAsiaTheme="majorEastAsia" w:cstheme="majorBidi"/>
          <w:bCs/>
          <w:i/>
          <w:iCs/>
          <w:color w:val="000000" w:themeColor="text1"/>
          <w:szCs w:val="26"/>
        </w:rPr>
        <w:br/>
        <w:t xml:space="preserve">Data was </w:t>
      </w:r>
      <w:r w:rsidRPr="00284A14">
        <w:rPr>
          <w:rFonts w:eastAsiaTheme="majorEastAsia" w:cstheme="majorBidi"/>
          <w:bCs/>
          <w:i/>
          <w:iCs/>
          <w:color w:val="000000" w:themeColor="text1"/>
          <w:szCs w:val="26"/>
        </w:rPr>
        <w:t>extracted from Police Scotland systems and are correct as at 11 February 2025</w:t>
      </w:r>
      <w:r w:rsidR="00251E43">
        <w:rPr>
          <w:rFonts w:eastAsiaTheme="majorEastAsia" w:cstheme="majorBidi"/>
          <w:bCs/>
          <w:i/>
          <w:iCs/>
          <w:color w:val="000000" w:themeColor="text1"/>
          <w:szCs w:val="26"/>
        </w:rPr>
        <w:t>.</w:t>
      </w:r>
      <w:r w:rsidR="00251E43">
        <w:rPr>
          <w:rFonts w:eastAsiaTheme="majorEastAsia" w:cstheme="majorBidi"/>
          <w:bCs/>
          <w:i/>
          <w:iCs/>
          <w:color w:val="000000" w:themeColor="text1"/>
          <w:szCs w:val="26"/>
        </w:rPr>
        <w:br/>
        <w:t>D</w:t>
      </w:r>
      <w:r w:rsidRPr="00284A14">
        <w:rPr>
          <w:rFonts w:eastAsiaTheme="majorEastAsia" w:cstheme="majorBidi"/>
          <w:bCs/>
          <w:i/>
          <w:iCs/>
          <w:color w:val="000000" w:themeColor="text1"/>
          <w:szCs w:val="26"/>
        </w:rPr>
        <w:t>ata was extracted using the crime's raised date and by using SGJD code 605014.</w:t>
      </w:r>
      <w:r w:rsidR="00251E43">
        <w:rPr>
          <w:rFonts w:eastAsiaTheme="majorEastAsia" w:cstheme="majorBidi"/>
          <w:bCs/>
          <w:i/>
          <w:iCs/>
          <w:color w:val="000000" w:themeColor="text1"/>
          <w:szCs w:val="26"/>
        </w:rPr>
        <w:br/>
        <w:t>T</w:t>
      </w:r>
      <w:r w:rsidRPr="00284A14">
        <w:rPr>
          <w:rFonts w:eastAsiaTheme="majorEastAsia" w:cstheme="majorBidi"/>
          <w:bCs/>
          <w:i/>
          <w:iCs/>
          <w:color w:val="000000" w:themeColor="text1"/>
          <w:szCs w:val="26"/>
        </w:rPr>
        <w:t>his offence was not implemented until 5th December 2016.</w:t>
      </w:r>
      <w:r w:rsidRPr="00284A14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284A14">
        <w:rPr>
          <w:rFonts w:eastAsiaTheme="majorEastAsia" w:cstheme="majorBidi"/>
          <w:b/>
          <w:color w:val="000000" w:themeColor="text1"/>
          <w:szCs w:val="26"/>
        </w:rPr>
        <w:tab/>
      </w:r>
      <w:r w:rsidRPr="00284A14">
        <w:rPr>
          <w:rFonts w:eastAsiaTheme="majorEastAsia" w:cstheme="majorBidi"/>
          <w:b/>
          <w:color w:val="000000" w:themeColor="text1"/>
          <w:szCs w:val="26"/>
        </w:rPr>
        <w:tab/>
      </w:r>
      <w:r w:rsidRPr="00284A14">
        <w:rPr>
          <w:rFonts w:eastAsiaTheme="majorEastAsia" w:cstheme="majorBidi"/>
          <w:b/>
          <w:color w:val="000000" w:themeColor="text1"/>
          <w:szCs w:val="26"/>
        </w:rPr>
        <w:tab/>
      </w:r>
      <w:r w:rsidRPr="00284A14">
        <w:rPr>
          <w:rFonts w:eastAsiaTheme="majorEastAsia" w:cstheme="majorBidi"/>
          <w:b/>
          <w:color w:val="000000" w:themeColor="text1"/>
          <w:szCs w:val="26"/>
        </w:rPr>
        <w:tab/>
      </w:r>
      <w:r w:rsidRPr="00284A14">
        <w:rPr>
          <w:rFonts w:eastAsiaTheme="majorEastAsia" w:cstheme="majorBidi"/>
          <w:b/>
          <w:color w:val="000000" w:themeColor="text1"/>
          <w:szCs w:val="26"/>
        </w:rPr>
        <w:tab/>
      </w:r>
      <w:r w:rsidRPr="00284A14">
        <w:rPr>
          <w:rFonts w:eastAsiaTheme="majorEastAsia" w:cstheme="majorBidi"/>
          <w:b/>
          <w:color w:val="000000" w:themeColor="text1"/>
          <w:szCs w:val="26"/>
        </w:rPr>
        <w:tab/>
      </w:r>
      <w:r w:rsidRPr="00284A14">
        <w:rPr>
          <w:rFonts w:eastAsiaTheme="majorEastAsia" w:cstheme="majorBidi"/>
          <w:b/>
          <w:color w:val="000000" w:themeColor="text1"/>
          <w:szCs w:val="26"/>
        </w:rPr>
        <w:tab/>
      </w:r>
      <w:r w:rsidRPr="00284A14">
        <w:rPr>
          <w:rFonts w:eastAsiaTheme="majorEastAsia" w:cstheme="majorBidi"/>
          <w:b/>
          <w:color w:val="000000" w:themeColor="text1"/>
          <w:szCs w:val="26"/>
        </w:rPr>
        <w:tab/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8D6B0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75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4DD177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75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DD3F75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75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5A2B4B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75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6280A0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75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1124C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75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62980"/>
    <w:multiLevelType w:val="hybridMultilevel"/>
    <w:tmpl w:val="94A053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7A234B"/>
    <w:multiLevelType w:val="hybridMultilevel"/>
    <w:tmpl w:val="77D23D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964627264">
    <w:abstractNumId w:val="1"/>
  </w:num>
  <w:num w:numId="3" w16cid:durableId="1262226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76D6"/>
    <w:rsid w:val="000E2F19"/>
    <w:rsid w:val="000E6526"/>
    <w:rsid w:val="00137176"/>
    <w:rsid w:val="00141533"/>
    <w:rsid w:val="00167528"/>
    <w:rsid w:val="00195CC4"/>
    <w:rsid w:val="00207326"/>
    <w:rsid w:val="00251E43"/>
    <w:rsid w:val="00253DF6"/>
    <w:rsid w:val="00255F1E"/>
    <w:rsid w:val="00284A14"/>
    <w:rsid w:val="00305DFE"/>
    <w:rsid w:val="0036503B"/>
    <w:rsid w:val="00376A4A"/>
    <w:rsid w:val="003D6D03"/>
    <w:rsid w:val="003E12CA"/>
    <w:rsid w:val="004010DC"/>
    <w:rsid w:val="004341F0"/>
    <w:rsid w:val="004562A5"/>
    <w:rsid w:val="00456324"/>
    <w:rsid w:val="00475460"/>
    <w:rsid w:val="00481E26"/>
    <w:rsid w:val="0048758A"/>
    <w:rsid w:val="00490317"/>
    <w:rsid w:val="00491644"/>
    <w:rsid w:val="00496A08"/>
    <w:rsid w:val="004E1605"/>
    <w:rsid w:val="004F653C"/>
    <w:rsid w:val="00540A52"/>
    <w:rsid w:val="00557306"/>
    <w:rsid w:val="00636B5D"/>
    <w:rsid w:val="00645CFA"/>
    <w:rsid w:val="00676275"/>
    <w:rsid w:val="00685219"/>
    <w:rsid w:val="006D5799"/>
    <w:rsid w:val="007440EA"/>
    <w:rsid w:val="00750D83"/>
    <w:rsid w:val="007523C2"/>
    <w:rsid w:val="00785DBC"/>
    <w:rsid w:val="00793DD5"/>
    <w:rsid w:val="007D55F6"/>
    <w:rsid w:val="007E10A4"/>
    <w:rsid w:val="007F490F"/>
    <w:rsid w:val="008321CF"/>
    <w:rsid w:val="008369A8"/>
    <w:rsid w:val="0086779C"/>
    <w:rsid w:val="00874BFD"/>
    <w:rsid w:val="008964EF"/>
    <w:rsid w:val="0089744F"/>
    <w:rsid w:val="00915E01"/>
    <w:rsid w:val="009631A4"/>
    <w:rsid w:val="00977296"/>
    <w:rsid w:val="009A62D8"/>
    <w:rsid w:val="009C4EE9"/>
    <w:rsid w:val="00A25E93"/>
    <w:rsid w:val="00A320FF"/>
    <w:rsid w:val="00A53CFD"/>
    <w:rsid w:val="00A70AC0"/>
    <w:rsid w:val="00A769D7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63E3A"/>
    <w:rsid w:val="00C84948"/>
    <w:rsid w:val="00C94ED8"/>
    <w:rsid w:val="00CF1111"/>
    <w:rsid w:val="00D05706"/>
    <w:rsid w:val="00D27DC5"/>
    <w:rsid w:val="00D47E36"/>
    <w:rsid w:val="00E55D79"/>
    <w:rsid w:val="00E63D8D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51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pfs.gov.uk/publications/lord-advocate-s-guidelines-on-the-use-of-the-police-direct-measures-for-adult-offenders/html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545</Words>
  <Characters>3110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2025-03-04T08:09:00Z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