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7CC069" w:rsidR="00B17211" w:rsidRPr="00B17211" w:rsidRDefault="00B17211" w:rsidP="007F490F">
            <w:r w:rsidRPr="007F490F">
              <w:rPr>
                <w:rStyle w:val="Heading2Char"/>
              </w:rPr>
              <w:t>Our reference:</w:t>
            </w:r>
            <w:r>
              <w:t xml:space="preserve">  FOI 2</w:t>
            </w:r>
            <w:r w:rsidR="00EF0FBB">
              <w:t>5</w:t>
            </w:r>
            <w:r>
              <w:t>-</w:t>
            </w:r>
            <w:r w:rsidR="00010856">
              <w:t>0369</w:t>
            </w:r>
          </w:p>
          <w:p w14:paraId="34BDABA6" w14:textId="418FD46B" w:rsidR="00B17211" w:rsidRDefault="00456324" w:rsidP="00EE2373">
            <w:r w:rsidRPr="007F490F">
              <w:rPr>
                <w:rStyle w:val="Heading2Char"/>
              </w:rPr>
              <w:t>Respon</w:t>
            </w:r>
            <w:r w:rsidR="007D55F6">
              <w:rPr>
                <w:rStyle w:val="Heading2Char"/>
              </w:rPr>
              <w:t>ded to:</w:t>
            </w:r>
            <w:r w:rsidR="007F490F">
              <w:t xml:space="preserve">  </w:t>
            </w:r>
            <w:r w:rsidR="00C6770F">
              <w:t>20</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042BE8" w14:textId="221D2A43" w:rsidR="00010856" w:rsidRDefault="00010856" w:rsidP="00793DD5">
      <w:pPr>
        <w:tabs>
          <w:tab w:val="left" w:pos="5400"/>
        </w:tabs>
        <w:rPr>
          <w:rFonts w:eastAsiaTheme="majorEastAsia" w:cstheme="majorBidi"/>
          <w:b/>
          <w:color w:val="000000" w:themeColor="text1"/>
          <w:szCs w:val="26"/>
        </w:rPr>
      </w:pPr>
      <w:r w:rsidRPr="00010856">
        <w:rPr>
          <w:rFonts w:eastAsiaTheme="majorEastAsia" w:cstheme="majorBidi"/>
          <w:b/>
          <w:color w:val="000000" w:themeColor="text1"/>
          <w:szCs w:val="26"/>
        </w:rPr>
        <w:t xml:space="preserve">Gairdoch park Carronshore </w:t>
      </w:r>
      <w:r>
        <w:rPr>
          <w:rFonts w:eastAsiaTheme="majorEastAsia" w:cstheme="majorBidi"/>
          <w:b/>
          <w:color w:val="000000" w:themeColor="text1"/>
          <w:szCs w:val="26"/>
        </w:rPr>
        <w:t xml:space="preserve">- </w:t>
      </w:r>
      <w:r w:rsidRPr="00010856">
        <w:rPr>
          <w:rFonts w:eastAsiaTheme="majorEastAsia" w:cstheme="majorBidi"/>
          <w:b/>
          <w:color w:val="000000" w:themeColor="text1"/>
          <w:szCs w:val="26"/>
        </w:rPr>
        <w:t>about noise at night or possibly a break in is there any history of drug issues or noise problems from the park area?</w:t>
      </w:r>
    </w:p>
    <w:p w14:paraId="50E3E312" w14:textId="0CEC0EAC" w:rsidR="005E110C" w:rsidRPr="00574411" w:rsidRDefault="005E110C" w:rsidP="005E110C">
      <w:r w:rsidRPr="00574411">
        <w:t xml:space="preserve">I would ask that you note that all incidents which come to the attention of </w:t>
      </w:r>
      <w:r w:rsidR="00B22A7A">
        <w:t>Police Scotland</w:t>
      </w:r>
      <w:r w:rsidRPr="00574411">
        <w:t xml:space="preserve"> are recorded on STORM, </w:t>
      </w:r>
      <w:r w:rsidR="00B22A7A">
        <w:t>our</w:t>
      </w:r>
      <w:r w:rsidRPr="00574411">
        <w:t xml:space="preserve"> incident management system. An incident may well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p w14:paraId="518B1BA7" w14:textId="5E30C491" w:rsidR="005E110C" w:rsidRDefault="005E110C" w:rsidP="005E110C">
      <w:r w:rsidRPr="00574411">
        <w:t xml:space="preserve">If it is deemed a criminal offence has been committed a crime or offence is recorded on the </w:t>
      </w:r>
      <w:r w:rsidR="00B22A7A">
        <w:t xml:space="preserve">our </w:t>
      </w:r>
      <w:r w:rsidRPr="00574411">
        <w:t xml:space="preserve">Crime Management system and a crime report raised. Accordingly, there are two separate processes for the recording of incidents and crimes. </w:t>
      </w:r>
    </w:p>
    <w:p w14:paraId="1F35443E" w14:textId="518A0628" w:rsidR="00EF0FBB" w:rsidRDefault="005E110C" w:rsidP="005E110C">
      <w:pPr>
        <w:tabs>
          <w:tab w:val="left" w:pos="5400"/>
        </w:tabs>
      </w:pPr>
      <w:r>
        <w:t xml:space="preserve">The data provided below covers a 1 mile radius around Gairdoch Park, Falkirk. </w:t>
      </w:r>
    </w:p>
    <w:p w14:paraId="7B67B2B3" w14:textId="0FF1C96B" w:rsidR="00A17CC9" w:rsidRDefault="005E110C" w:rsidP="005E110C">
      <w:pPr>
        <w:tabs>
          <w:tab w:val="left" w:pos="5400"/>
        </w:tabs>
      </w:pPr>
      <w:r>
        <w:t xml:space="preserve">Please note caveats below the tables. </w:t>
      </w:r>
    </w:p>
    <w:p w14:paraId="251AA1CE" w14:textId="519B35F0" w:rsidR="005E110C" w:rsidRPr="005E110C" w:rsidRDefault="005E110C" w:rsidP="005E110C">
      <w:pPr>
        <w:tabs>
          <w:tab w:val="left" w:pos="5400"/>
        </w:tabs>
        <w:rPr>
          <w:i/>
          <w:iCs/>
        </w:rPr>
      </w:pPr>
      <w:r w:rsidRPr="005E110C">
        <w:rPr>
          <w:i/>
          <w:iCs/>
        </w:rPr>
        <w:t>Table 1: Recorded Storm Incidents – 1 mile radius around Gairdoch Park, Forth Valley Division – 1</w:t>
      </w:r>
      <w:r w:rsidRPr="005E110C">
        <w:rPr>
          <w:i/>
          <w:iCs/>
          <w:vertAlign w:val="superscript"/>
        </w:rPr>
        <w:t>st</w:t>
      </w:r>
      <w:r w:rsidRPr="005E110C">
        <w:rPr>
          <w:i/>
          <w:iCs/>
        </w:rPr>
        <w:t xml:space="preserve"> January 2020 – 28</w:t>
      </w:r>
      <w:r w:rsidRPr="005E110C">
        <w:rPr>
          <w:i/>
          <w:iCs/>
          <w:vertAlign w:val="superscript"/>
        </w:rPr>
        <w:t>th</w:t>
      </w:r>
      <w:r w:rsidRPr="005E110C">
        <w:rPr>
          <w:i/>
          <w:iCs/>
        </w:rPr>
        <w:t xml:space="preserve"> February 2025 (inclusive)</w:t>
      </w:r>
    </w:p>
    <w:tbl>
      <w:tblPr>
        <w:tblStyle w:val="TableGrid"/>
        <w:tblW w:w="9628" w:type="dxa"/>
        <w:tblLook w:val="04A0" w:firstRow="1" w:lastRow="0" w:firstColumn="1" w:lastColumn="0" w:noHBand="0" w:noVBand="1"/>
        <w:tblCaption w:val="Table 1: Recorded Storm Incidents – 1 mile radius around Gairdoch Park, Forth Valley Division – 1st January 2020 – 28th February 2025 (inclusive)"/>
        <w:tblDescription w:val="Table 1: Recorded Storm Incidents – 1 mile radius around Gairdoch Park, Forth Valley Division – 1st January 2020 – 28th February 2025 (inclusive)"/>
      </w:tblPr>
      <w:tblGrid>
        <w:gridCol w:w="1515"/>
        <w:gridCol w:w="1516"/>
        <w:gridCol w:w="1515"/>
        <w:gridCol w:w="1516"/>
        <w:gridCol w:w="1516"/>
        <w:gridCol w:w="1025"/>
        <w:gridCol w:w="1025"/>
      </w:tblGrid>
      <w:tr w:rsidR="00524F43" w:rsidRPr="00557306" w14:paraId="2337145A" w14:textId="77777777" w:rsidTr="009F42E3">
        <w:trPr>
          <w:tblHeader/>
        </w:trPr>
        <w:tc>
          <w:tcPr>
            <w:tcW w:w="1515" w:type="dxa"/>
            <w:shd w:val="clear" w:color="auto" w:fill="D9D9D9" w:themeFill="background1" w:themeFillShade="D9"/>
          </w:tcPr>
          <w:p w14:paraId="3E70CAE8" w14:textId="77777777" w:rsidR="00524F43" w:rsidRPr="00557306" w:rsidRDefault="00524F43" w:rsidP="009F42E3">
            <w:pPr>
              <w:spacing w:line="240" w:lineRule="auto"/>
              <w:rPr>
                <w:b/>
              </w:rPr>
            </w:pPr>
            <w:r w:rsidRPr="00557306">
              <w:rPr>
                <w:b/>
              </w:rPr>
              <w:t>Heading</w:t>
            </w:r>
          </w:p>
        </w:tc>
        <w:tc>
          <w:tcPr>
            <w:tcW w:w="1516" w:type="dxa"/>
            <w:shd w:val="clear" w:color="auto" w:fill="D9D9D9" w:themeFill="background1" w:themeFillShade="D9"/>
          </w:tcPr>
          <w:p w14:paraId="0824ED3E" w14:textId="77777777" w:rsidR="00524F43" w:rsidRPr="00557306" w:rsidRDefault="00524F43" w:rsidP="009F42E3">
            <w:pPr>
              <w:spacing w:line="240" w:lineRule="auto"/>
              <w:rPr>
                <w:b/>
              </w:rPr>
            </w:pPr>
            <w:r>
              <w:rPr>
                <w:b/>
              </w:rPr>
              <w:t>2020</w:t>
            </w:r>
          </w:p>
        </w:tc>
        <w:tc>
          <w:tcPr>
            <w:tcW w:w="1515" w:type="dxa"/>
            <w:shd w:val="clear" w:color="auto" w:fill="D9D9D9" w:themeFill="background1" w:themeFillShade="D9"/>
          </w:tcPr>
          <w:p w14:paraId="0BAE1787" w14:textId="77777777" w:rsidR="00524F43" w:rsidRPr="00557306" w:rsidRDefault="00524F43" w:rsidP="009F42E3">
            <w:pPr>
              <w:spacing w:line="240" w:lineRule="auto"/>
              <w:rPr>
                <w:b/>
              </w:rPr>
            </w:pPr>
            <w:r>
              <w:rPr>
                <w:b/>
              </w:rPr>
              <w:t>2021</w:t>
            </w:r>
          </w:p>
        </w:tc>
        <w:tc>
          <w:tcPr>
            <w:tcW w:w="1516" w:type="dxa"/>
            <w:shd w:val="clear" w:color="auto" w:fill="D9D9D9" w:themeFill="background1" w:themeFillShade="D9"/>
          </w:tcPr>
          <w:p w14:paraId="30C94BC5" w14:textId="77777777" w:rsidR="00524F43" w:rsidRPr="00557306" w:rsidRDefault="00524F43" w:rsidP="009F42E3">
            <w:pPr>
              <w:spacing w:line="240" w:lineRule="auto"/>
              <w:rPr>
                <w:b/>
              </w:rPr>
            </w:pPr>
            <w:r>
              <w:rPr>
                <w:b/>
              </w:rPr>
              <w:t>2022</w:t>
            </w:r>
          </w:p>
        </w:tc>
        <w:tc>
          <w:tcPr>
            <w:tcW w:w="1516" w:type="dxa"/>
            <w:shd w:val="clear" w:color="auto" w:fill="D9D9D9" w:themeFill="background1" w:themeFillShade="D9"/>
          </w:tcPr>
          <w:p w14:paraId="356C811C" w14:textId="77777777" w:rsidR="00524F43" w:rsidRPr="00557306" w:rsidRDefault="00524F43" w:rsidP="009F42E3">
            <w:pPr>
              <w:spacing w:line="240" w:lineRule="auto"/>
              <w:rPr>
                <w:b/>
              </w:rPr>
            </w:pPr>
            <w:r>
              <w:rPr>
                <w:b/>
              </w:rPr>
              <w:t>2023</w:t>
            </w:r>
          </w:p>
        </w:tc>
        <w:tc>
          <w:tcPr>
            <w:tcW w:w="1025" w:type="dxa"/>
            <w:shd w:val="clear" w:color="auto" w:fill="D9D9D9" w:themeFill="background1" w:themeFillShade="D9"/>
          </w:tcPr>
          <w:p w14:paraId="1EA1E006" w14:textId="77777777" w:rsidR="00524F43" w:rsidRPr="00557306" w:rsidRDefault="00524F43" w:rsidP="009F42E3">
            <w:pPr>
              <w:spacing w:line="240" w:lineRule="auto"/>
              <w:rPr>
                <w:b/>
              </w:rPr>
            </w:pPr>
            <w:r>
              <w:rPr>
                <w:b/>
              </w:rPr>
              <w:t>2024</w:t>
            </w:r>
          </w:p>
        </w:tc>
        <w:tc>
          <w:tcPr>
            <w:tcW w:w="1025" w:type="dxa"/>
            <w:shd w:val="clear" w:color="auto" w:fill="D9D9D9" w:themeFill="background1" w:themeFillShade="D9"/>
          </w:tcPr>
          <w:p w14:paraId="431BF948" w14:textId="77777777" w:rsidR="00524F43" w:rsidRPr="00557306" w:rsidRDefault="00524F43" w:rsidP="009F42E3">
            <w:pPr>
              <w:spacing w:line="240" w:lineRule="auto"/>
              <w:rPr>
                <w:b/>
              </w:rPr>
            </w:pPr>
            <w:r>
              <w:rPr>
                <w:b/>
              </w:rPr>
              <w:t>2025</w:t>
            </w:r>
          </w:p>
        </w:tc>
      </w:tr>
      <w:tr w:rsidR="00524F43" w14:paraId="3BEFFD55" w14:textId="77777777" w:rsidTr="009F42E3">
        <w:tc>
          <w:tcPr>
            <w:tcW w:w="1515" w:type="dxa"/>
          </w:tcPr>
          <w:p w14:paraId="13148854" w14:textId="77777777" w:rsidR="00524F43" w:rsidRDefault="00524F43" w:rsidP="009F42E3">
            <w:pPr>
              <w:tabs>
                <w:tab w:val="left" w:pos="5400"/>
              </w:tabs>
              <w:spacing w:line="240" w:lineRule="auto"/>
            </w:pPr>
            <w:r>
              <w:t xml:space="preserve">Value </w:t>
            </w:r>
          </w:p>
        </w:tc>
        <w:tc>
          <w:tcPr>
            <w:tcW w:w="1516" w:type="dxa"/>
          </w:tcPr>
          <w:p w14:paraId="15BECADF" w14:textId="26E9D9E7" w:rsidR="00524F43" w:rsidRDefault="00524F43" w:rsidP="009F42E3">
            <w:pPr>
              <w:tabs>
                <w:tab w:val="left" w:pos="5400"/>
              </w:tabs>
              <w:spacing w:line="240" w:lineRule="auto"/>
            </w:pPr>
            <w:r>
              <w:t>3,218</w:t>
            </w:r>
          </w:p>
        </w:tc>
        <w:tc>
          <w:tcPr>
            <w:tcW w:w="1515" w:type="dxa"/>
          </w:tcPr>
          <w:p w14:paraId="53798402" w14:textId="111EC53D" w:rsidR="00524F43" w:rsidRDefault="00524F43" w:rsidP="009F42E3">
            <w:pPr>
              <w:tabs>
                <w:tab w:val="left" w:pos="5400"/>
              </w:tabs>
              <w:spacing w:line="240" w:lineRule="auto"/>
            </w:pPr>
            <w:r>
              <w:t>2,733</w:t>
            </w:r>
          </w:p>
        </w:tc>
        <w:tc>
          <w:tcPr>
            <w:tcW w:w="1516" w:type="dxa"/>
          </w:tcPr>
          <w:p w14:paraId="77CA2700" w14:textId="20CC9E8A" w:rsidR="00524F43" w:rsidRDefault="00524F43" w:rsidP="009F42E3">
            <w:pPr>
              <w:tabs>
                <w:tab w:val="left" w:pos="5400"/>
              </w:tabs>
              <w:spacing w:line="240" w:lineRule="auto"/>
            </w:pPr>
            <w:r>
              <w:t>2,326</w:t>
            </w:r>
          </w:p>
        </w:tc>
        <w:tc>
          <w:tcPr>
            <w:tcW w:w="1516" w:type="dxa"/>
          </w:tcPr>
          <w:p w14:paraId="214728E2" w14:textId="63776C3F" w:rsidR="00524F43" w:rsidRDefault="00524F43" w:rsidP="009F42E3">
            <w:pPr>
              <w:tabs>
                <w:tab w:val="left" w:pos="5400"/>
              </w:tabs>
              <w:spacing w:line="240" w:lineRule="auto"/>
            </w:pPr>
            <w:r>
              <w:t>2,497</w:t>
            </w:r>
          </w:p>
        </w:tc>
        <w:tc>
          <w:tcPr>
            <w:tcW w:w="1025" w:type="dxa"/>
          </w:tcPr>
          <w:p w14:paraId="41F81F92" w14:textId="7A031843" w:rsidR="00524F43" w:rsidRDefault="00524F43" w:rsidP="009F42E3">
            <w:pPr>
              <w:tabs>
                <w:tab w:val="left" w:pos="5400"/>
              </w:tabs>
              <w:spacing w:line="240" w:lineRule="auto"/>
            </w:pPr>
            <w:r>
              <w:t>2,457</w:t>
            </w:r>
          </w:p>
        </w:tc>
        <w:tc>
          <w:tcPr>
            <w:tcW w:w="1025" w:type="dxa"/>
          </w:tcPr>
          <w:p w14:paraId="66E00A17" w14:textId="5D7AF7E3" w:rsidR="00524F43" w:rsidRDefault="00524F43" w:rsidP="009F42E3">
            <w:pPr>
              <w:tabs>
                <w:tab w:val="left" w:pos="5400"/>
              </w:tabs>
              <w:spacing w:line="240" w:lineRule="auto"/>
            </w:pPr>
            <w:r>
              <w:t>412</w:t>
            </w:r>
          </w:p>
        </w:tc>
      </w:tr>
    </w:tbl>
    <w:p w14:paraId="21FC1A76" w14:textId="77777777" w:rsidR="00A17CC9" w:rsidRDefault="00A17CC9" w:rsidP="00793DD5">
      <w:pPr>
        <w:tabs>
          <w:tab w:val="left" w:pos="5400"/>
        </w:tabs>
      </w:pPr>
    </w:p>
    <w:p w14:paraId="34BDABAB" w14:textId="232E9B7E" w:rsidR="00255F1E" w:rsidRPr="005E110C" w:rsidRDefault="005E110C" w:rsidP="00793DD5">
      <w:pPr>
        <w:tabs>
          <w:tab w:val="left" w:pos="5400"/>
        </w:tabs>
        <w:rPr>
          <w:i/>
          <w:iCs/>
        </w:rPr>
      </w:pPr>
      <w:r w:rsidRPr="005E110C">
        <w:rPr>
          <w:i/>
          <w:iCs/>
        </w:rPr>
        <w:t xml:space="preserve">Table </w:t>
      </w:r>
      <w:r>
        <w:rPr>
          <w:i/>
          <w:iCs/>
        </w:rPr>
        <w:t>2</w:t>
      </w:r>
      <w:r w:rsidRPr="005E110C">
        <w:rPr>
          <w:i/>
          <w:iCs/>
        </w:rPr>
        <w:t xml:space="preserve">: Recorded </w:t>
      </w:r>
      <w:r>
        <w:rPr>
          <w:i/>
          <w:iCs/>
        </w:rPr>
        <w:t>Crimes</w:t>
      </w:r>
      <w:r w:rsidRPr="005E110C">
        <w:rPr>
          <w:i/>
          <w:iCs/>
        </w:rPr>
        <w:t xml:space="preserve"> – 1 mile radius around Gairdoch Park, Forth Valley Division – 1</w:t>
      </w:r>
      <w:r w:rsidRPr="005E110C">
        <w:rPr>
          <w:i/>
          <w:iCs/>
          <w:vertAlign w:val="superscript"/>
        </w:rPr>
        <w:t>st</w:t>
      </w:r>
      <w:r w:rsidRPr="005E110C">
        <w:rPr>
          <w:i/>
          <w:iCs/>
        </w:rPr>
        <w:t xml:space="preserve"> January 2020 – 28</w:t>
      </w:r>
      <w:r w:rsidRPr="005E110C">
        <w:rPr>
          <w:i/>
          <w:iCs/>
          <w:vertAlign w:val="superscript"/>
        </w:rPr>
        <w:t>th</w:t>
      </w:r>
      <w:r w:rsidRPr="005E110C">
        <w:rPr>
          <w:i/>
          <w:iCs/>
        </w:rPr>
        <w:t xml:space="preserve"> February 2025 (inclusive)</w:t>
      </w:r>
    </w:p>
    <w:tbl>
      <w:tblPr>
        <w:tblStyle w:val="TableGrid"/>
        <w:tblW w:w="9628" w:type="dxa"/>
        <w:tblLook w:val="04A0" w:firstRow="1" w:lastRow="0" w:firstColumn="1" w:lastColumn="0" w:noHBand="0" w:noVBand="1"/>
        <w:tblCaption w:val="Table 2: Recorded Crimes – 1 mile radius around Gairdoch Park, Forth Valley Division – 1st January 2020 – 28th February 2025 (inclusive)"/>
        <w:tblDescription w:val="Table 2: Recorded Crimes – 1 mile radius around Gairdoch Park, Forth Valley Division – 1st January 2020 – 28th February 2025 (inclusive)"/>
      </w:tblPr>
      <w:tblGrid>
        <w:gridCol w:w="1515"/>
        <w:gridCol w:w="1516"/>
        <w:gridCol w:w="1515"/>
        <w:gridCol w:w="1516"/>
        <w:gridCol w:w="1516"/>
        <w:gridCol w:w="1025"/>
        <w:gridCol w:w="1025"/>
      </w:tblGrid>
      <w:tr w:rsidR="00010856" w:rsidRPr="00557306" w14:paraId="34BDABB1" w14:textId="7FFF8579" w:rsidTr="00010856">
        <w:trPr>
          <w:tblHeader/>
        </w:trPr>
        <w:tc>
          <w:tcPr>
            <w:tcW w:w="1515" w:type="dxa"/>
            <w:shd w:val="clear" w:color="auto" w:fill="D9D9D9" w:themeFill="background1" w:themeFillShade="D9"/>
          </w:tcPr>
          <w:p w14:paraId="34BDABAC" w14:textId="77777777" w:rsidR="00010856" w:rsidRPr="00557306" w:rsidRDefault="00010856" w:rsidP="00EF0FBB">
            <w:pPr>
              <w:spacing w:line="240" w:lineRule="auto"/>
              <w:rPr>
                <w:b/>
              </w:rPr>
            </w:pPr>
            <w:r w:rsidRPr="00557306">
              <w:rPr>
                <w:b/>
              </w:rPr>
              <w:t>Heading</w:t>
            </w:r>
          </w:p>
        </w:tc>
        <w:tc>
          <w:tcPr>
            <w:tcW w:w="1516" w:type="dxa"/>
            <w:shd w:val="clear" w:color="auto" w:fill="D9D9D9" w:themeFill="background1" w:themeFillShade="D9"/>
          </w:tcPr>
          <w:p w14:paraId="34BDABAD" w14:textId="21332462" w:rsidR="00010856" w:rsidRPr="00557306" w:rsidRDefault="00010856" w:rsidP="00EF0FBB">
            <w:pPr>
              <w:spacing w:line="240" w:lineRule="auto"/>
              <w:rPr>
                <w:b/>
              </w:rPr>
            </w:pPr>
            <w:r>
              <w:rPr>
                <w:b/>
              </w:rPr>
              <w:t>2020</w:t>
            </w:r>
          </w:p>
        </w:tc>
        <w:tc>
          <w:tcPr>
            <w:tcW w:w="1515" w:type="dxa"/>
            <w:shd w:val="clear" w:color="auto" w:fill="D9D9D9" w:themeFill="background1" w:themeFillShade="D9"/>
          </w:tcPr>
          <w:p w14:paraId="34BDABAE" w14:textId="19E12953" w:rsidR="00010856" w:rsidRPr="00557306" w:rsidRDefault="00010856" w:rsidP="00EF0FBB">
            <w:pPr>
              <w:spacing w:line="240" w:lineRule="auto"/>
              <w:rPr>
                <w:b/>
              </w:rPr>
            </w:pPr>
            <w:r>
              <w:rPr>
                <w:b/>
              </w:rPr>
              <w:t>2021</w:t>
            </w:r>
          </w:p>
        </w:tc>
        <w:tc>
          <w:tcPr>
            <w:tcW w:w="1516" w:type="dxa"/>
            <w:shd w:val="clear" w:color="auto" w:fill="D9D9D9" w:themeFill="background1" w:themeFillShade="D9"/>
          </w:tcPr>
          <w:p w14:paraId="34BDABAF" w14:textId="0F610E62" w:rsidR="00010856" w:rsidRPr="00557306" w:rsidRDefault="00010856" w:rsidP="00EF0FBB">
            <w:pPr>
              <w:spacing w:line="240" w:lineRule="auto"/>
              <w:rPr>
                <w:b/>
              </w:rPr>
            </w:pPr>
            <w:r>
              <w:rPr>
                <w:b/>
              </w:rPr>
              <w:t>2022</w:t>
            </w:r>
          </w:p>
        </w:tc>
        <w:tc>
          <w:tcPr>
            <w:tcW w:w="1516" w:type="dxa"/>
            <w:shd w:val="clear" w:color="auto" w:fill="D9D9D9" w:themeFill="background1" w:themeFillShade="D9"/>
          </w:tcPr>
          <w:p w14:paraId="34BDABB0" w14:textId="1EE3FC6E" w:rsidR="00010856" w:rsidRPr="00557306" w:rsidRDefault="00010856" w:rsidP="00EF0FBB">
            <w:pPr>
              <w:spacing w:line="240" w:lineRule="auto"/>
              <w:rPr>
                <w:b/>
              </w:rPr>
            </w:pPr>
            <w:r>
              <w:rPr>
                <w:b/>
              </w:rPr>
              <w:t>2023</w:t>
            </w:r>
          </w:p>
        </w:tc>
        <w:tc>
          <w:tcPr>
            <w:tcW w:w="1025" w:type="dxa"/>
            <w:shd w:val="clear" w:color="auto" w:fill="D9D9D9" w:themeFill="background1" w:themeFillShade="D9"/>
          </w:tcPr>
          <w:p w14:paraId="08B0805A" w14:textId="7FE81D7C" w:rsidR="00010856" w:rsidRPr="00557306" w:rsidRDefault="00010856" w:rsidP="00EF0FBB">
            <w:pPr>
              <w:spacing w:line="240" w:lineRule="auto"/>
              <w:rPr>
                <w:b/>
              </w:rPr>
            </w:pPr>
            <w:r>
              <w:rPr>
                <w:b/>
              </w:rPr>
              <w:t>2024</w:t>
            </w:r>
          </w:p>
        </w:tc>
        <w:tc>
          <w:tcPr>
            <w:tcW w:w="1025" w:type="dxa"/>
            <w:shd w:val="clear" w:color="auto" w:fill="D9D9D9" w:themeFill="background1" w:themeFillShade="D9"/>
          </w:tcPr>
          <w:p w14:paraId="7638A6E1" w14:textId="030C3642" w:rsidR="00010856" w:rsidRPr="00557306" w:rsidRDefault="00010856" w:rsidP="00EF0FBB">
            <w:pPr>
              <w:spacing w:line="240" w:lineRule="auto"/>
              <w:rPr>
                <w:b/>
              </w:rPr>
            </w:pPr>
            <w:r>
              <w:rPr>
                <w:b/>
              </w:rPr>
              <w:t>2025</w:t>
            </w:r>
          </w:p>
        </w:tc>
      </w:tr>
      <w:tr w:rsidR="00010856" w14:paraId="34BDABB7" w14:textId="7666E9B1" w:rsidTr="00010856">
        <w:tc>
          <w:tcPr>
            <w:tcW w:w="1515" w:type="dxa"/>
          </w:tcPr>
          <w:p w14:paraId="34BDABB2" w14:textId="77777777" w:rsidR="00010856" w:rsidRDefault="00010856" w:rsidP="00EF0FBB">
            <w:pPr>
              <w:tabs>
                <w:tab w:val="left" w:pos="5400"/>
              </w:tabs>
              <w:spacing w:line="240" w:lineRule="auto"/>
            </w:pPr>
            <w:r>
              <w:t xml:space="preserve">Value </w:t>
            </w:r>
          </w:p>
        </w:tc>
        <w:tc>
          <w:tcPr>
            <w:tcW w:w="1516" w:type="dxa"/>
          </w:tcPr>
          <w:p w14:paraId="34BDABB3" w14:textId="61B42134" w:rsidR="00010856" w:rsidRDefault="00010856" w:rsidP="00EF0FBB">
            <w:pPr>
              <w:tabs>
                <w:tab w:val="left" w:pos="5400"/>
              </w:tabs>
              <w:spacing w:line="240" w:lineRule="auto"/>
            </w:pPr>
            <w:r>
              <w:t>889</w:t>
            </w:r>
          </w:p>
        </w:tc>
        <w:tc>
          <w:tcPr>
            <w:tcW w:w="1515" w:type="dxa"/>
          </w:tcPr>
          <w:p w14:paraId="34BDABB4" w14:textId="7A279560" w:rsidR="00010856" w:rsidRDefault="00010856" w:rsidP="00EF0FBB">
            <w:pPr>
              <w:tabs>
                <w:tab w:val="left" w:pos="5400"/>
              </w:tabs>
              <w:spacing w:line="240" w:lineRule="auto"/>
            </w:pPr>
            <w:r>
              <w:t>821</w:t>
            </w:r>
          </w:p>
        </w:tc>
        <w:tc>
          <w:tcPr>
            <w:tcW w:w="1516" w:type="dxa"/>
          </w:tcPr>
          <w:p w14:paraId="34BDABB5" w14:textId="5AD98C49" w:rsidR="00010856" w:rsidRDefault="00010856" w:rsidP="00EF0FBB">
            <w:pPr>
              <w:tabs>
                <w:tab w:val="left" w:pos="5400"/>
              </w:tabs>
              <w:spacing w:line="240" w:lineRule="auto"/>
            </w:pPr>
            <w:r>
              <w:t>642</w:t>
            </w:r>
          </w:p>
        </w:tc>
        <w:tc>
          <w:tcPr>
            <w:tcW w:w="1516" w:type="dxa"/>
          </w:tcPr>
          <w:p w14:paraId="34BDABB6" w14:textId="090E3FDD" w:rsidR="00010856" w:rsidRDefault="00010856" w:rsidP="00EF0FBB">
            <w:pPr>
              <w:tabs>
                <w:tab w:val="left" w:pos="5400"/>
              </w:tabs>
              <w:spacing w:line="240" w:lineRule="auto"/>
            </w:pPr>
            <w:r>
              <w:t>565</w:t>
            </w:r>
          </w:p>
        </w:tc>
        <w:tc>
          <w:tcPr>
            <w:tcW w:w="1025" w:type="dxa"/>
          </w:tcPr>
          <w:p w14:paraId="65201120" w14:textId="7EC44A98" w:rsidR="00010856" w:rsidRDefault="00524F43" w:rsidP="00EF0FBB">
            <w:pPr>
              <w:tabs>
                <w:tab w:val="left" w:pos="5400"/>
              </w:tabs>
              <w:spacing w:line="240" w:lineRule="auto"/>
            </w:pPr>
            <w:r>
              <w:t>676</w:t>
            </w:r>
          </w:p>
        </w:tc>
        <w:tc>
          <w:tcPr>
            <w:tcW w:w="1025" w:type="dxa"/>
          </w:tcPr>
          <w:p w14:paraId="1A3DF323" w14:textId="15618BAA" w:rsidR="00010856" w:rsidRDefault="00524F43" w:rsidP="00EF0FBB">
            <w:pPr>
              <w:tabs>
                <w:tab w:val="left" w:pos="5400"/>
              </w:tabs>
              <w:spacing w:line="240" w:lineRule="auto"/>
            </w:pPr>
            <w:r>
              <w:t>128</w:t>
            </w:r>
          </w:p>
        </w:tc>
      </w:tr>
    </w:tbl>
    <w:p w14:paraId="2C1422AB" w14:textId="77777777" w:rsidR="00A17CC9" w:rsidRDefault="00A17CC9" w:rsidP="005E110C">
      <w:pPr>
        <w:pStyle w:val="NoSpacing"/>
      </w:pPr>
    </w:p>
    <w:p w14:paraId="34BDABB8" w14:textId="303265C9" w:rsidR="00255F1E" w:rsidRPr="00B11A55" w:rsidRDefault="005E110C" w:rsidP="00B22A7A">
      <w:r>
        <w:lastRenderedPageBreak/>
        <w:t xml:space="preserve">All statistics are provisional and should be treated as management information. </w:t>
      </w:r>
      <w:r w:rsidR="00B22A7A">
        <w:br/>
        <w:t xml:space="preserve">Data was </w:t>
      </w:r>
      <w:r>
        <w:t>extracted from Police Scotland systems and are correct as at 04/03/2025</w:t>
      </w:r>
      <w:r w:rsidR="00B22A7A">
        <w:t>.</w:t>
      </w:r>
      <w:r w:rsidR="00B22A7A">
        <w:br/>
        <w:t xml:space="preserve">Data </w:t>
      </w:r>
      <w:r>
        <w:t>was extracted using the crime's raised date.</w:t>
      </w:r>
      <w:r>
        <w:tab/>
      </w:r>
      <w:r>
        <w:tab/>
      </w:r>
      <w:r>
        <w:tab/>
      </w:r>
      <w:r>
        <w:tab/>
      </w:r>
      <w:r w:rsidR="00B22A7A">
        <w:br/>
      </w:r>
      <w:r>
        <w:t>Specified areas have been selected using the Ordnance Survey National Geographic Database</w:t>
      </w:r>
      <w:r w:rsidR="00B22A7A">
        <w:t xml:space="preserve"> and </w:t>
      </w:r>
      <w:r>
        <w:t>only records with a Grid East and Grid North are plotted and selected</w:t>
      </w:r>
      <w:r w:rsidR="00B22A7A">
        <w:t xml:space="preserve"> - n</w:t>
      </w:r>
      <w:r>
        <w:t>ot all records have a Grid East and Grid North.</w:t>
      </w:r>
      <w:r>
        <w:tab/>
      </w:r>
      <w:r w:rsidR="00B22A7A">
        <w:br/>
      </w:r>
      <w:r>
        <w:t>Error and transferred incidents have been removed.</w:t>
      </w:r>
      <w:r>
        <w:tab/>
      </w:r>
      <w:r>
        <w:tab/>
      </w:r>
      <w:r>
        <w:tab/>
      </w:r>
      <w:r>
        <w:tab/>
      </w:r>
    </w:p>
    <w:p w14:paraId="024455FD" w14:textId="77777777" w:rsidR="00A17CC9" w:rsidRDefault="00A17CC9" w:rsidP="005E110C">
      <w:pPr>
        <w:rPr>
          <w:b/>
          <w:bCs/>
        </w:rPr>
      </w:pPr>
    </w:p>
    <w:p w14:paraId="46E198CB" w14:textId="1B82C175" w:rsidR="005E110C" w:rsidRPr="00010856" w:rsidRDefault="005E110C" w:rsidP="005E110C">
      <w:pPr>
        <w:rPr>
          <w:b/>
          <w:bCs/>
        </w:rPr>
      </w:pPr>
      <w:r>
        <w:rPr>
          <w:b/>
          <w:bCs/>
        </w:rPr>
        <w:t>I</w:t>
      </w:r>
      <w:r w:rsidRPr="00010856">
        <w:rPr>
          <w:b/>
          <w:bCs/>
        </w:rPr>
        <w:t>s there such a thing as a crime figure map for Falkirk district that I could access?</w:t>
      </w:r>
    </w:p>
    <w:p w14:paraId="5CAD58BA" w14:textId="77777777" w:rsidR="005E110C" w:rsidRDefault="005E110C" w:rsidP="005E110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04E64D3B" w14:textId="187799FA" w:rsidR="005E110C" w:rsidRDefault="005E110C" w:rsidP="00793DD5">
      <w:pPr>
        <w:tabs>
          <w:tab w:val="left" w:pos="5400"/>
        </w:tabs>
      </w:pPr>
      <w:r>
        <w:t xml:space="preserve">I believe the following link may be of interest to you: </w:t>
      </w:r>
      <w:hyperlink r:id="rId11" w:history="1">
        <w:r w:rsidRPr="005E110C">
          <w:rPr>
            <w:rStyle w:val="Hyperlink"/>
          </w:rPr>
          <w:t>Crime data - Police Scotland</w:t>
        </w:r>
      </w:hyperlink>
    </w:p>
    <w:p w14:paraId="22742D53" w14:textId="77777777" w:rsidR="00A17CC9" w:rsidRPr="00B11A55" w:rsidRDefault="00A17CC9"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A818F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4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92E70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4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E4463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4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BE902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4B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762CB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4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8C12D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74B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856"/>
    <w:rsid w:val="00090F3B"/>
    <w:rsid w:val="000E2F19"/>
    <w:rsid w:val="000E6526"/>
    <w:rsid w:val="00141533"/>
    <w:rsid w:val="00167528"/>
    <w:rsid w:val="00195CC4"/>
    <w:rsid w:val="00201042"/>
    <w:rsid w:val="00207326"/>
    <w:rsid w:val="00253DF6"/>
    <w:rsid w:val="00255F1E"/>
    <w:rsid w:val="002E195D"/>
    <w:rsid w:val="0036503B"/>
    <w:rsid w:val="00376A4A"/>
    <w:rsid w:val="003D6D03"/>
    <w:rsid w:val="003E12CA"/>
    <w:rsid w:val="004010DC"/>
    <w:rsid w:val="004274BA"/>
    <w:rsid w:val="004341F0"/>
    <w:rsid w:val="00456324"/>
    <w:rsid w:val="00475460"/>
    <w:rsid w:val="00490317"/>
    <w:rsid w:val="00491644"/>
    <w:rsid w:val="00496A08"/>
    <w:rsid w:val="004E1605"/>
    <w:rsid w:val="004F653C"/>
    <w:rsid w:val="00524F43"/>
    <w:rsid w:val="00540A52"/>
    <w:rsid w:val="00557306"/>
    <w:rsid w:val="005E110C"/>
    <w:rsid w:val="00636B5D"/>
    <w:rsid w:val="00645CFA"/>
    <w:rsid w:val="00676275"/>
    <w:rsid w:val="00685219"/>
    <w:rsid w:val="006D5799"/>
    <w:rsid w:val="00715B28"/>
    <w:rsid w:val="007440EA"/>
    <w:rsid w:val="00750D83"/>
    <w:rsid w:val="00785DBC"/>
    <w:rsid w:val="00793DD5"/>
    <w:rsid w:val="007D55F6"/>
    <w:rsid w:val="007F490F"/>
    <w:rsid w:val="00866D56"/>
    <w:rsid w:val="0086779C"/>
    <w:rsid w:val="00874BFD"/>
    <w:rsid w:val="008964EF"/>
    <w:rsid w:val="0089744F"/>
    <w:rsid w:val="008D62C0"/>
    <w:rsid w:val="008F1539"/>
    <w:rsid w:val="00915E01"/>
    <w:rsid w:val="009631A4"/>
    <w:rsid w:val="00977296"/>
    <w:rsid w:val="00A17CC9"/>
    <w:rsid w:val="00A25E93"/>
    <w:rsid w:val="00A320FF"/>
    <w:rsid w:val="00A70AC0"/>
    <w:rsid w:val="00A84EA9"/>
    <w:rsid w:val="00AC443C"/>
    <w:rsid w:val="00B033D6"/>
    <w:rsid w:val="00B11A55"/>
    <w:rsid w:val="00B17211"/>
    <w:rsid w:val="00B22A7A"/>
    <w:rsid w:val="00B461B2"/>
    <w:rsid w:val="00B654B6"/>
    <w:rsid w:val="00B71B3C"/>
    <w:rsid w:val="00BC389E"/>
    <w:rsid w:val="00BE1888"/>
    <w:rsid w:val="00BF6B81"/>
    <w:rsid w:val="00C05EAE"/>
    <w:rsid w:val="00C077A8"/>
    <w:rsid w:val="00C14FF4"/>
    <w:rsid w:val="00C1679F"/>
    <w:rsid w:val="00C606A2"/>
    <w:rsid w:val="00C63872"/>
    <w:rsid w:val="00C6770F"/>
    <w:rsid w:val="00C84948"/>
    <w:rsid w:val="00C94ED8"/>
    <w:rsid w:val="00CF1111"/>
    <w:rsid w:val="00D05706"/>
    <w:rsid w:val="00D27DC5"/>
    <w:rsid w:val="00D47E36"/>
    <w:rsid w:val="00E0650A"/>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rsid w:val="005E110C"/>
    <w:pPr>
      <w:spacing w:before="0" w:after="0" w:line="240" w:lineRule="auto"/>
    </w:pPr>
  </w:style>
  <w:style w:type="character" w:styleId="UnresolvedMention">
    <w:name w:val="Unresolved Mention"/>
    <w:basedOn w:val="DefaultParagraphFont"/>
    <w:uiPriority w:val="99"/>
    <w:semiHidden/>
    <w:unhideWhenUsed/>
    <w:rsid w:val="005E1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297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537</Words>
  <Characters>3067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