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5FAE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F6D28">
              <w:t>2452</w:t>
            </w:r>
          </w:p>
          <w:p w14:paraId="34BDABA6" w14:textId="3194549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12CE">
              <w:t>0</w:t>
            </w:r>
            <w:r w:rsidR="00BE72EA">
              <w:t>4</w:t>
            </w:r>
            <w:r w:rsidR="006D5799">
              <w:t xml:space="preserve">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8A54DE" w14:textId="77777777" w:rsidR="00BF6D28" w:rsidRDefault="00BF6D28" w:rsidP="00BF6D2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6D28">
        <w:rPr>
          <w:rFonts w:eastAsiaTheme="majorEastAsia" w:cstheme="majorBidi"/>
          <w:b/>
          <w:color w:val="000000" w:themeColor="text1"/>
          <w:szCs w:val="26"/>
        </w:rPr>
        <w:t>The total number of overtime hours worked by staff in Police Scotland control rooms for each of the last five financial years.</w:t>
      </w:r>
    </w:p>
    <w:p w14:paraId="49CBA65D" w14:textId="77777777" w:rsidR="00BF6D28" w:rsidRPr="00BF6D28" w:rsidRDefault="00BF6D28" w:rsidP="00BF6D2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6D28">
        <w:rPr>
          <w:rFonts w:eastAsiaTheme="majorEastAsia" w:cstheme="majorBidi"/>
          <w:b/>
          <w:color w:val="000000" w:themeColor="text1"/>
          <w:szCs w:val="26"/>
        </w:rPr>
        <w:t>The total expenditure on overtime pay for staff in Police Scotland’s control rooms for each of the last five financial years.</w:t>
      </w:r>
    </w:p>
    <w:p w14:paraId="548B154B" w14:textId="77777777" w:rsidR="00BF6D28" w:rsidRDefault="00BF6D28" w:rsidP="00BF6D2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6D28">
        <w:rPr>
          <w:rFonts w:eastAsiaTheme="majorEastAsia" w:cstheme="majorBidi"/>
          <w:b/>
          <w:color w:val="000000" w:themeColor="text1"/>
          <w:szCs w:val="26"/>
        </w:rPr>
        <w:t>If possible, please provide the data broken down by the individual control rooms, or by regional divisions, if applicable.</w:t>
      </w:r>
    </w:p>
    <w:p w14:paraId="34BDABB8" w14:textId="2F81C9D2" w:rsidR="00255F1E" w:rsidRDefault="00BF6D28" w:rsidP="00BF6D28">
      <w:pPr>
        <w:tabs>
          <w:tab w:val="left" w:pos="5400"/>
        </w:tabs>
      </w:pPr>
      <w:r>
        <w:t>As requested, please see the below tables confirming the total expenditure on overtime pay for Police Scotland’s Area Control Rooms</w:t>
      </w:r>
      <w:r w:rsidR="004F0937">
        <w:t xml:space="preserve"> and the amount of overtime hours worked</w:t>
      </w:r>
      <w:r>
        <w:t>, for the</w:t>
      </w:r>
      <w:r w:rsidR="0097011D">
        <w:t xml:space="preserve"> 21/22, 22/2</w:t>
      </w:r>
      <w:r w:rsidR="005D7DE5">
        <w:t>3 and</w:t>
      </w:r>
      <w:r w:rsidR="0097011D">
        <w:t xml:space="preserve"> 23/24 financial year</w:t>
      </w:r>
      <w:r>
        <w:t xml:space="preserve">, broken down by </w:t>
      </w:r>
      <w:r w:rsidR="00134AC9">
        <w:t xml:space="preserve">cost code centre. </w:t>
      </w:r>
    </w:p>
    <w:p w14:paraId="0865818B" w14:textId="3927693E" w:rsidR="00D174C2" w:rsidRDefault="0097011D" w:rsidP="00BF6D2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For data prior to 2021/22, please note</w:t>
      </w:r>
      <w:r w:rsidR="00D174C2">
        <w:t xml:space="preserve">, </w:t>
      </w:r>
      <w:r w:rsidR="00D174C2"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="00D174C2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D174C2"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This data is not held separately for the area control rooms prior to 2021/22. </w:t>
      </w:r>
    </w:p>
    <w:p w14:paraId="0BC33D26" w14:textId="77777777" w:rsidR="00D174C2" w:rsidRPr="00D174C2" w:rsidRDefault="00D174C2" w:rsidP="00BF6D2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91C45C0" w14:textId="687821EE" w:rsidR="00134AC9" w:rsidRDefault="00134AC9" w:rsidP="00BF6D28">
      <w:pPr>
        <w:tabs>
          <w:tab w:val="left" w:pos="5400"/>
        </w:tabs>
      </w:pPr>
      <w:r>
        <w:t xml:space="preserve">Total overtime </w:t>
      </w:r>
      <w:r w:rsidR="004F0937">
        <w:t xml:space="preserve">hours and </w:t>
      </w:r>
      <w:r>
        <w:t xml:space="preserve">pay expenditure, Area Control Rooms, </w:t>
      </w:r>
      <w:r w:rsidR="004F0937">
        <w:t>2021/22</w:t>
      </w:r>
      <w:r>
        <w:t>:</w:t>
      </w:r>
    </w:p>
    <w:tbl>
      <w:tblPr>
        <w:tblStyle w:val="TableGrid"/>
        <w:tblpPr w:leftFromText="180" w:rightFromText="180" w:vertAnchor="text" w:horzAnchor="margin" w:tblpY="-57"/>
        <w:tblW w:w="7650" w:type="dxa"/>
        <w:tblLook w:val="04A0" w:firstRow="1" w:lastRow="0" w:firstColumn="1" w:lastColumn="0" w:noHBand="0" w:noVBand="1"/>
        <w:tblCaption w:val="Total overtime hours and pay expenditure, Area Control Rooms, 2021/22:"/>
        <w:tblDescription w:val="Total overtime hours and pay expenditure, Area Control Rooms, 2021/22:"/>
      </w:tblPr>
      <w:tblGrid>
        <w:gridCol w:w="2263"/>
        <w:gridCol w:w="2977"/>
        <w:gridCol w:w="2410"/>
      </w:tblGrid>
      <w:tr w:rsidR="004F0937" w:rsidRPr="00557306" w14:paraId="1775B074" w14:textId="77777777" w:rsidTr="004F0937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7E9BBD0F" w14:textId="77777777" w:rsidR="004F0937" w:rsidRPr="00557306" w:rsidRDefault="004F0937" w:rsidP="003E4C9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28CE943" w14:textId="64FE2045" w:rsidR="004F0937" w:rsidRDefault="004F0937" w:rsidP="003E4C9B">
            <w:pPr>
              <w:spacing w:line="240" w:lineRule="auto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7B0DF5C" w14:textId="64BE45E9" w:rsidR="004F0937" w:rsidRPr="00557306" w:rsidRDefault="004F0937" w:rsidP="003E4C9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4F0937" w14:paraId="23216E7D" w14:textId="77777777" w:rsidTr="004F0937">
        <w:tc>
          <w:tcPr>
            <w:tcW w:w="2263" w:type="dxa"/>
          </w:tcPr>
          <w:p w14:paraId="18FF186D" w14:textId="0A7AC9A2" w:rsidR="004F0937" w:rsidRDefault="004F0937" w:rsidP="003E4C9B">
            <w:pPr>
              <w:tabs>
                <w:tab w:val="left" w:pos="5400"/>
              </w:tabs>
              <w:spacing w:line="240" w:lineRule="auto"/>
            </w:pPr>
            <w:r>
              <w:t>Glasgow</w:t>
            </w:r>
          </w:p>
        </w:tc>
        <w:tc>
          <w:tcPr>
            <w:tcW w:w="2977" w:type="dxa"/>
          </w:tcPr>
          <w:p w14:paraId="2C25EA85" w14:textId="4DD4DE10" w:rsidR="004F0937" w:rsidRDefault="004F0937" w:rsidP="003E4C9B">
            <w:pPr>
              <w:spacing w:line="240" w:lineRule="auto"/>
            </w:pPr>
            <w:r>
              <w:t>4,936</w:t>
            </w:r>
          </w:p>
        </w:tc>
        <w:tc>
          <w:tcPr>
            <w:tcW w:w="2410" w:type="dxa"/>
          </w:tcPr>
          <w:p w14:paraId="0D58CF9D" w14:textId="19FA2153" w:rsidR="004F0937" w:rsidRDefault="004F0937" w:rsidP="003E4C9B">
            <w:pPr>
              <w:spacing w:line="240" w:lineRule="auto"/>
            </w:pPr>
            <w:r>
              <w:t>£103,106.00</w:t>
            </w:r>
          </w:p>
        </w:tc>
      </w:tr>
      <w:tr w:rsidR="004F0937" w14:paraId="686CB563" w14:textId="77777777" w:rsidTr="004F0937">
        <w:tc>
          <w:tcPr>
            <w:tcW w:w="2263" w:type="dxa"/>
          </w:tcPr>
          <w:p w14:paraId="230294A8" w14:textId="3FA08F87" w:rsidR="004F0937" w:rsidRDefault="004F0937" w:rsidP="003E4C9B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2977" w:type="dxa"/>
          </w:tcPr>
          <w:p w14:paraId="0F1E6A22" w14:textId="02CF5332" w:rsidR="004F0937" w:rsidRDefault="004F0937" w:rsidP="003E4C9B">
            <w:pPr>
              <w:spacing w:line="240" w:lineRule="auto"/>
            </w:pPr>
            <w:r>
              <w:t>7,569</w:t>
            </w:r>
          </w:p>
        </w:tc>
        <w:tc>
          <w:tcPr>
            <w:tcW w:w="2410" w:type="dxa"/>
          </w:tcPr>
          <w:p w14:paraId="350DAB2D" w14:textId="09E53B55" w:rsidR="004F0937" w:rsidRDefault="004F0937" w:rsidP="003E4C9B">
            <w:pPr>
              <w:spacing w:line="240" w:lineRule="auto"/>
            </w:pPr>
            <w:r>
              <w:t>£148,044.00</w:t>
            </w:r>
          </w:p>
        </w:tc>
      </w:tr>
      <w:tr w:rsidR="004F0937" w14:paraId="170C7F3F" w14:textId="77777777" w:rsidTr="004F0937">
        <w:tc>
          <w:tcPr>
            <w:tcW w:w="2263" w:type="dxa"/>
          </w:tcPr>
          <w:p w14:paraId="6F89BEE8" w14:textId="317D9A94" w:rsidR="004F0937" w:rsidRDefault="004F0937" w:rsidP="003E4C9B">
            <w:pPr>
              <w:tabs>
                <w:tab w:val="left" w:pos="5400"/>
              </w:tabs>
              <w:spacing w:line="240" w:lineRule="auto"/>
            </w:pPr>
            <w:r>
              <w:t>Dundee</w:t>
            </w:r>
          </w:p>
        </w:tc>
        <w:tc>
          <w:tcPr>
            <w:tcW w:w="2977" w:type="dxa"/>
          </w:tcPr>
          <w:p w14:paraId="7D1C78DE" w14:textId="47D77EF6" w:rsidR="004F0937" w:rsidRDefault="004F0937" w:rsidP="003E4C9B">
            <w:pPr>
              <w:spacing w:line="240" w:lineRule="auto"/>
            </w:pPr>
            <w:r>
              <w:t>1,738</w:t>
            </w:r>
          </w:p>
        </w:tc>
        <w:tc>
          <w:tcPr>
            <w:tcW w:w="2410" w:type="dxa"/>
          </w:tcPr>
          <w:p w14:paraId="126DBD86" w14:textId="5F5C5732" w:rsidR="004F0937" w:rsidRDefault="004F0937" w:rsidP="003E4C9B">
            <w:pPr>
              <w:spacing w:line="240" w:lineRule="auto"/>
            </w:pPr>
            <w:r>
              <w:t>£33,902.00</w:t>
            </w:r>
          </w:p>
        </w:tc>
      </w:tr>
    </w:tbl>
    <w:p w14:paraId="2D653D5F" w14:textId="77777777" w:rsidR="00134AC9" w:rsidRDefault="00134AC9" w:rsidP="00BF6D28">
      <w:pPr>
        <w:tabs>
          <w:tab w:val="left" w:pos="5400"/>
        </w:tabs>
      </w:pPr>
    </w:p>
    <w:p w14:paraId="763DA04E" w14:textId="77777777" w:rsidR="00134AC9" w:rsidRDefault="00134AC9" w:rsidP="00BF6D28">
      <w:pPr>
        <w:tabs>
          <w:tab w:val="left" w:pos="5400"/>
        </w:tabs>
      </w:pPr>
    </w:p>
    <w:p w14:paraId="1C11AE5C" w14:textId="77777777" w:rsidR="00134AC9" w:rsidRDefault="00134AC9" w:rsidP="00BF6D28">
      <w:pPr>
        <w:tabs>
          <w:tab w:val="left" w:pos="5400"/>
        </w:tabs>
      </w:pPr>
    </w:p>
    <w:p w14:paraId="4AE73ABA" w14:textId="77777777" w:rsidR="00134AC9" w:rsidRDefault="00134AC9" w:rsidP="00BF6D28">
      <w:pPr>
        <w:tabs>
          <w:tab w:val="left" w:pos="5400"/>
        </w:tabs>
      </w:pPr>
    </w:p>
    <w:p w14:paraId="7892F5D1" w14:textId="77777777" w:rsidR="004F0937" w:rsidRDefault="004F0937" w:rsidP="00BF6D28">
      <w:pPr>
        <w:tabs>
          <w:tab w:val="left" w:pos="5400"/>
        </w:tabs>
      </w:pPr>
    </w:p>
    <w:p w14:paraId="03786C4A" w14:textId="77777777" w:rsidR="004F0937" w:rsidRDefault="004F0937" w:rsidP="00BF6D28">
      <w:pPr>
        <w:tabs>
          <w:tab w:val="left" w:pos="5400"/>
        </w:tabs>
      </w:pPr>
    </w:p>
    <w:p w14:paraId="32A74AB4" w14:textId="77777777" w:rsidR="004F0937" w:rsidRDefault="004F0937" w:rsidP="00BF6D28">
      <w:pPr>
        <w:tabs>
          <w:tab w:val="left" w:pos="5400"/>
        </w:tabs>
      </w:pPr>
    </w:p>
    <w:p w14:paraId="5D61DB0C" w14:textId="77777777" w:rsidR="004F0937" w:rsidRDefault="004F0937" w:rsidP="00BF6D28">
      <w:pPr>
        <w:tabs>
          <w:tab w:val="left" w:pos="5400"/>
        </w:tabs>
      </w:pPr>
    </w:p>
    <w:p w14:paraId="11E7D331" w14:textId="77777777" w:rsidR="004F0937" w:rsidRDefault="004F0937" w:rsidP="00BF6D28">
      <w:pPr>
        <w:tabs>
          <w:tab w:val="left" w:pos="5400"/>
        </w:tabs>
      </w:pPr>
    </w:p>
    <w:p w14:paraId="19BF291E" w14:textId="76E8EF03" w:rsidR="00134AC9" w:rsidRDefault="004F0937" w:rsidP="00BF6D28">
      <w:pPr>
        <w:tabs>
          <w:tab w:val="left" w:pos="5400"/>
        </w:tabs>
      </w:pPr>
      <w:r>
        <w:t>Total overtime hours and pay expenditure</w:t>
      </w:r>
      <w:r w:rsidR="00134AC9">
        <w:t>, Area Control Rooms, 202</w:t>
      </w:r>
      <w:r>
        <w:t>2/23</w:t>
      </w:r>
      <w:r w:rsidR="00134AC9">
        <w:t>:</w:t>
      </w:r>
    </w:p>
    <w:tbl>
      <w:tblPr>
        <w:tblStyle w:val="TableGrid"/>
        <w:tblpPr w:leftFromText="180" w:rightFromText="180" w:vertAnchor="text" w:horzAnchor="margin" w:tblpY="-57"/>
        <w:tblW w:w="7650" w:type="dxa"/>
        <w:tblLook w:val="04A0" w:firstRow="1" w:lastRow="0" w:firstColumn="1" w:lastColumn="0" w:noHBand="0" w:noVBand="1"/>
        <w:tblCaption w:val="Total expenditure on overtime pay, Area Control Rooms, 2020"/>
        <w:tblDescription w:val="Total expenditure on overtime pay, Area Control Rooms, 2020"/>
      </w:tblPr>
      <w:tblGrid>
        <w:gridCol w:w="2263"/>
        <w:gridCol w:w="2977"/>
        <w:gridCol w:w="2410"/>
      </w:tblGrid>
      <w:tr w:rsidR="004F0937" w:rsidRPr="00557306" w14:paraId="444790F9" w14:textId="77777777" w:rsidTr="004F0937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7F1F140A" w14:textId="79A56D2B" w:rsidR="004F0937" w:rsidRPr="00557306" w:rsidRDefault="004F0937" w:rsidP="003E4C9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2C17BF6" w14:textId="38696D8A" w:rsidR="004F0937" w:rsidRDefault="004F0937" w:rsidP="003E4C9B">
            <w:pPr>
              <w:spacing w:line="240" w:lineRule="auto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650C94E" w14:textId="2A413601" w:rsidR="004F0937" w:rsidRPr="00557306" w:rsidRDefault="004F0937" w:rsidP="003E4C9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4F0937" w14:paraId="00ACB45A" w14:textId="77777777" w:rsidTr="004F0937">
        <w:tc>
          <w:tcPr>
            <w:tcW w:w="2263" w:type="dxa"/>
          </w:tcPr>
          <w:p w14:paraId="08917FEB" w14:textId="08D98C87" w:rsidR="004F0937" w:rsidRDefault="004F0937" w:rsidP="003E4C9B">
            <w:pPr>
              <w:tabs>
                <w:tab w:val="left" w:pos="5400"/>
              </w:tabs>
              <w:spacing w:line="240" w:lineRule="auto"/>
            </w:pPr>
            <w:r>
              <w:t>Glasgow</w:t>
            </w:r>
          </w:p>
        </w:tc>
        <w:tc>
          <w:tcPr>
            <w:tcW w:w="2977" w:type="dxa"/>
          </w:tcPr>
          <w:p w14:paraId="42BF1FAB" w14:textId="4EAA0642" w:rsidR="004F0937" w:rsidRDefault="004F0937" w:rsidP="003E4C9B">
            <w:pPr>
              <w:spacing w:line="240" w:lineRule="auto"/>
            </w:pPr>
            <w:r>
              <w:t>11,147</w:t>
            </w:r>
          </w:p>
        </w:tc>
        <w:tc>
          <w:tcPr>
            <w:tcW w:w="2410" w:type="dxa"/>
          </w:tcPr>
          <w:p w14:paraId="50E51D95" w14:textId="56B1A0D1" w:rsidR="004F0937" w:rsidRDefault="004F0937" w:rsidP="003E4C9B">
            <w:pPr>
              <w:spacing w:line="240" w:lineRule="auto"/>
            </w:pPr>
            <w:r>
              <w:t>£249,628.00</w:t>
            </w:r>
          </w:p>
        </w:tc>
      </w:tr>
      <w:tr w:rsidR="004F0937" w14:paraId="4377A2E3" w14:textId="77777777" w:rsidTr="004F0937">
        <w:tc>
          <w:tcPr>
            <w:tcW w:w="2263" w:type="dxa"/>
          </w:tcPr>
          <w:p w14:paraId="7C8F7E4A" w14:textId="484A1CF0" w:rsidR="004F0937" w:rsidRDefault="004F0937" w:rsidP="003E4C9B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2977" w:type="dxa"/>
          </w:tcPr>
          <w:p w14:paraId="526CEB85" w14:textId="07A048C3" w:rsidR="004F0937" w:rsidRDefault="004F0937" w:rsidP="003E4C9B">
            <w:pPr>
              <w:spacing w:line="240" w:lineRule="auto"/>
            </w:pPr>
            <w:r>
              <w:t>5,284</w:t>
            </w:r>
          </w:p>
        </w:tc>
        <w:tc>
          <w:tcPr>
            <w:tcW w:w="2410" w:type="dxa"/>
          </w:tcPr>
          <w:p w14:paraId="27ECD36C" w14:textId="08749C17" w:rsidR="004F0937" w:rsidRDefault="004F0937" w:rsidP="003E4C9B">
            <w:pPr>
              <w:spacing w:line="240" w:lineRule="auto"/>
            </w:pPr>
            <w:r>
              <w:t>£108,520.00</w:t>
            </w:r>
          </w:p>
        </w:tc>
      </w:tr>
      <w:tr w:rsidR="004F0937" w14:paraId="68446048" w14:textId="77777777" w:rsidTr="004F0937">
        <w:tc>
          <w:tcPr>
            <w:tcW w:w="2263" w:type="dxa"/>
          </w:tcPr>
          <w:p w14:paraId="5FB0B155" w14:textId="62C8054A" w:rsidR="004F0937" w:rsidRDefault="004F0937" w:rsidP="003E4C9B">
            <w:pPr>
              <w:tabs>
                <w:tab w:val="left" w:pos="5400"/>
              </w:tabs>
              <w:spacing w:line="240" w:lineRule="auto"/>
            </w:pPr>
            <w:r>
              <w:t>Dundee</w:t>
            </w:r>
          </w:p>
        </w:tc>
        <w:tc>
          <w:tcPr>
            <w:tcW w:w="2977" w:type="dxa"/>
          </w:tcPr>
          <w:p w14:paraId="4A3EB4BD" w14:textId="29710B2D" w:rsidR="004F0937" w:rsidRDefault="004F0937" w:rsidP="003E4C9B">
            <w:pPr>
              <w:spacing w:line="240" w:lineRule="auto"/>
            </w:pPr>
            <w:r>
              <w:t>3,863</w:t>
            </w:r>
          </w:p>
        </w:tc>
        <w:tc>
          <w:tcPr>
            <w:tcW w:w="2410" w:type="dxa"/>
          </w:tcPr>
          <w:p w14:paraId="1890060A" w14:textId="2CE7BAC1" w:rsidR="004F0937" w:rsidRDefault="004F0937" w:rsidP="003E4C9B">
            <w:pPr>
              <w:spacing w:line="240" w:lineRule="auto"/>
            </w:pPr>
            <w:r>
              <w:t>£84,596.00</w:t>
            </w:r>
          </w:p>
        </w:tc>
      </w:tr>
      <w:tr w:rsidR="004F0937" w14:paraId="012D8EEC" w14:textId="77777777" w:rsidTr="004F0937">
        <w:tc>
          <w:tcPr>
            <w:tcW w:w="2263" w:type="dxa"/>
          </w:tcPr>
          <w:p w14:paraId="222EA245" w14:textId="5DE53540" w:rsidR="004F0937" w:rsidRDefault="004F0937" w:rsidP="003E4C9B">
            <w:pPr>
              <w:tabs>
                <w:tab w:val="left" w:pos="5400"/>
              </w:tabs>
              <w:spacing w:line="240" w:lineRule="auto"/>
            </w:pPr>
            <w:r>
              <w:t>Aberdeen</w:t>
            </w:r>
          </w:p>
        </w:tc>
        <w:tc>
          <w:tcPr>
            <w:tcW w:w="2977" w:type="dxa"/>
          </w:tcPr>
          <w:p w14:paraId="7588E984" w14:textId="45C10F3F" w:rsidR="004F0937" w:rsidRDefault="004F0937" w:rsidP="003E4C9B">
            <w:pPr>
              <w:spacing w:line="240" w:lineRule="auto"/>
            </w:pPr>
            <w:r>
              <w:t>16</w:t>
            </w:r>
          </w:p>
        </w:tc>
        <w:tc>
          <w:tcPr>
            <w:tcW w:w="2410" w:type="dxa"/>
          </w:tcPr>
          <w:p w14:paraId="7213EB0F" w14:textId="4AAFE0C9" w:rsidR="004F0937" w:rsidRDefault="004F0937" w:rsidP="003E4C9B">
            <w:pPr>
              <w:spacing w:line="240" w:lineRule="auto"/>
            </w:pPr>
            <w:r>
              <w:t>£262.00</w:t>
            </w:r>
          </w:p>
        </w:tc>
      </w:tr>
      <w:tr w:rsidR="004F0937" w14:paraId="44DAD760" w14:textId="77777777" w:rsidTr="004F0937">
        <w:tc>
          <w:tcPr>
            <w:tcW w:w="2263" w:type="dxa"/>
          </w:tcPr>
          <w:p w14:paraId="1634D5CC" w14:textId="5CAF895E" w:rsidR="004F0937" w:rsidRDefault="004F0937" w:rsidP="003E4C9B">
            <w:pPr>
              <w:tabs>
                <w:tab w:val="left" w:pos="5400"/>
              </w:tabs>
              <w:spacing w:line="240" w:lineRule="auto"/>
            </w:pPr>
            <w:r>
              <w:t>Stirling</w:t>
            </w:r>
          </w:p>
        </w:tc>
        <w:tc>
          <w:tcPr>
            <w:tcW w:w="2977" w:type="dxa"/>
          </w:tcPr>
          <w:p w14:paraId="076EA670" w14:textId="41523E4F" w:rsidR="004F0937" w:rsidRDefault="004F0937" w:rsidP="003E4C9B">
            <w:pPr>
              <w:spacing w:line="240" w:lineRule="auto"/>
            </w:pPr>
            <w:r>
              <w:t>18</w:t>
            </w:r>
          </w:p>
        </w:tc>
        <w:tc>
          <w:tcPr>
            <w:tcW w:w="2410" w:type="dxa"/>
          </w:tcPr>
          <w:p w14:paraId="03FABABF" w14:textId="698D5100" w:rsidR="004F0937" w:rsidRDefault="004F0937" w:rsidP="003E4C9B">
            <w:pPr>
              <w:spacing w:line="240" w:lineRule="auto"/>
            </w:pPr>
            <w:r>
              <w:t>£284.00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3C6FB7E6" w14:textId="77777777" w:rsidR="00134AC9" w:rsidRDefault="00134AC9" w:rsidP="00793DD5">
      <w:pPr>
        <w:tabs>
          <w:tab w:val="left" w:pos="5400"/>
        </w:tabs>
      </w:pPr>
    </w:p>
    <w:p w14:paraId="777D57DC" w14:textId="77777777" w:rsidR="00134AC9" w:rsidRDefault="00134AC9" w:rsidP="00793DD5">
      <w:pPr>
        <w:tabs>
          <w:tab w:val="left" w:pos="5400"/>
        </w:tabs>
      </w:pPr>
    </w:p>
    <w:p w14:paraId="127AF5E4" w14:textId="77777777" w:rsidR="00134AC9" w:rsidRDefault="00134AC9" w:rsidP="00793DD5">
      <w:pPr>
        <w:tabs>
          <w:tab w:val="left" w:pos="5400"/>
        </w:tabs>
      </w:pPr>
    </w:p>
    <w:p w14:paraId="054A9BD4" w14:textId="77777777" w:rsidR="00134AC9" w:rsidRDefault="00134AC9" w:rsidP="00793DD5">
      <w:pPr>
        <w:tabs>
          <w:tab w:val="left" w:pos="5400"/>
        </w:tabs>
      </w:pPr>
    </w:p>
    <w:p w14:paraId="6C7386B8" w14:textId="77777777" w:rsidR="00134AC9" w:rsidRDefault="00134AC9" w:rsidP="00793DD5">
      <w:pPr>
        <w:tabs>
          <w:tab w:val="left" w:pos="5400"/>
        </w:tabs>
      </w:pPr>
    </w:p>
    <w:p w14:paraId="368C1348" w14:textId="77777777" w:rsidR="005E10CA" w:rsidRDefault="005E10CA" w:rsidP="00793DD5">
      <w:pPr>
        <w:tabs>
          <w:tab w:val="left" w:pos="5400"/>
        </w:tabs>
      </w:pPr>
    </w:p>
    <w:p w14:paraId="0226A3B5" w14:textId="61C72C65" w:rsidR="00134AC9" w:rsidRDefault="004F0937" w:rsidP="00793DD5">
      <w:pPr>
        <w:tabs>
          <w:tab w:val="left" w:pos="5400"/>
        </w:tabs>
      </w:pPr>
      <w:r>
        <w:t>Total overtime hours and pay expenditure, Area Control Rooms, 2023/24</w:t>
      </w:r>
    </w:p>
    <w:tbl>
      <w:tblPr>
        <w:tblStyle w:val="TableGrid"/>
        <w:tblpPr w:leftFromText="180" w:rightFromText="180" w:vertAnchor="text" w:horzAnchor="margin" w:tblpY="-57"/>
        <w:tblW w:w="7650" w:type="dxa"/>
        <w:tblLook w:val="04A0" w:firstRow="1" w:lastRow="0" w:firstColumn="1" w:lastColumn="0" w:noHBand="0" w:noVBand="1"/>
        <w:tblCaption w:val="Total overtime hours and pay expenditure, Area Control Rooms, 2023/24"/>
        <w:tblDescription w:val="Total overtime hours and pay expenditure, Area Control Rooms, 2023/24"/>
      </w:tblPr>
      <w:tblGrid>
        <w:gridCol w:w="3029"/>
        <w:gridCol w:w="2211"/>
        <w:gridCol w:w="2410"/>
      </w:tblGrid>
      <w:tr w:rsidR="004F0937" w:rsidRPr="00557306" w14:paraId="11D7541A" w14:textId="77777777" w:rsidTr="004F0937">
        <w:trPr>
          <w:tblHeader/>
        </w:trPr>
        <w:tc>
          <w:tcPr>
            <w:tcW w:w="3029" w:type="dxa"/>
            <w:shd w:val="clear" w:color="auto" w:fill="D9D9D9" w:themeFill="background1" w:themeFillShade="D9"/>
          </w:tcPr>
          <w:p w14:paraId="745F64C0" w14:textId="77777777" w:rsidR="004F0937" w:rsidRPr="00557306" w:rsidRDefault="004F0937" w:rsidP="003E4C9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06E1FF9C" w14:textId="01A3AF04" w:rsidR="004F0937" w:rsidRDefault="004F0937" w:rsidP="003E4C9B">
            <w:pPr>
              <w:spacing w:line="240" w:lineRule="auto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AA90952" w14:textId="698AA4D2" w:rsidR="004F0937" w:rsidRPr="00557306" w:rsidRDefault="004F0937" w:rsidP="003E4C9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4F0937" w14:paraId="3A253730" w14:textId="77777777" w:rsidTr="004F0937">
        <w:tc>
          <w:tcPr>
            <w:tcW w:w="3029" w:type="dxa"/>
          </w:tcPr>
          <w:p w14:paraId="0CC21D99" w14:textId="26234660" w:rsidR="004F0937" w:rsidRDefault="004F0937" w:rsidP="003E4C9B">
            <w:pPr>
              <w:tabs>
                <w:tab w:val="left" w:pos="5400"/>
              </w:tabs>
              <w:spacing w:line="240" w:lineRule="auto"/>
            </w:pPr>
            <w:r>
              <w:t>Glasgow</w:t>
            </w:r>
          </w:p>
        </w:tc>
        <w:tc>
          <w:tcPr>
            <w:tcW w:w="2211" w:type="dxa"/>
          </w:tcPr>
          <w:p w14:paraId="513C3C9C" w14:textId="68C46E84" w:rsidR="004F0937" w:rsidRDefault="004F0937" w:rsidP="003E4C9B">
            <w:pPr>
              <w:spacing w:line="240" w:lineRule="auto"/>
            </w:pPr>
            <w:r>
              <w:t>8,091</w:t>
            </w:r>
          </w:p>
        </w:tc>
        <w:tc>
          <w:tcPr>
            <w:tcW w:w="2410" w:type="dxa"/>
          </w:tcPr>
          <w:p w14:paraId="0DF63A3F" w14:textId="6FDB2A44" w:rsidR="004F0937" w:rsidRDefault="004F0937" w:rsidP="003E4C9B">
            <w:pPr>
              <w:spacing w:line="240" w:lineRule="auto"/>
            </w:pPr>
            <w:r>
              <w:t>£211,249.00</w:t>
            </w:r>
          </w:p>
        </w:tc>
      </w:tr>
      <w:tr w:rsidR="004F0937" w14:paraId="5A4E65A5" w14:textId="77777777" w:rsidTr="004F0937">
        <w:tc>
          <w:tcPr>
            <w:tcW w:w="3029" w:type="dxa"/>
          </w:tcPr>
          <w:p w14:paraId="40C2FE09" w14:textId="77777777" w:rsidR="004F0937" w:rsidRDefault="004F0937" w:rsidP="003E4C9B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2211" w:type="dxa"/>
          </w:tcPr>
          <w:p w14:paraId="5C968019" w14:textId="78A0D699" w:rsidR="004F0937" w:rsidRDefault="004F0937" w:rsidP="003E4C9B">
            <w:pPr>
              <w:spacing w:line="240" w:lineRule="auto"/>
            </w:pPr>
            <w:r>
              <w:t>6,228</w:t>
            </w:r>
          </w:p>
        </w:tc>
        <w:tc>
          <w:tcPr>
            <w:tcW w:w="2410" w:type="dxa"/>
          </w:tcPr>
          <w:p w14:paraId="139871B2" w14:textId="0D453103" w:rsidR="004F0937" w:rsidRDefault="004F0937" w:rsidP="003E4C9B">
            <w:pPr>
              <w:spacing w:line="240" w:lineRule="auto"/>
            </w:pPr>
            <w:r>
              <w:t>£151,804.00</w:t>
            </w:r>
          </w:p>
        </w:tc>
      </w:tr>
      <w:tr w:rsidR="004F0937" w14:paraId="39D62907" w14:textId="77777777" w:rsidTr="004F0937">
        <w:tc>
          <w:tcPr>
            <w:tcW w:w="3029" w:type="dxa"/>
          </w:tcPr>
          <w:p w14:paraId="0C9E5CB0" w14:textId="657745B7" w:rsidR="004F0937" w:rsidRDefault="004F0937" w:rsidP="003E4C9B">
            <w:pPr>
              <w:tabs>
                <w:tab w:val="left" w:pos="5400"/>
              </w:tabs>
              <w:spacing w:line="240" w:lineRule="auto"/>
            </w:pPr>
            <w:r>
              <w:t>Dundee</w:t>
            </w:r>
          </w:p>
        </w:tc>
        <w:tc>
          <w:tcPr>
            <w:tcW w:w="2211" w:type="dxa"/>
          </w:tcPr>
          <w:p w14:paraId="359185FC" w14:textId="2DAE11DE" w:rsidR="004F0937" w:rsidRDefault="004F0937" w:rsidP="003E4C9B">
            <w:pPr>
              <w:spacing w:line="240" w:lineRule="auto"/>
            </w:pPr>
            <w:r>
              <w:t>4,626</w:t>
            </w:r>
          </w:p>
        </w:tc>
        <w:tc>
          <w:tcPr>
            <w:tcW w:w="2410" w:type="dxa"/>
          </w:tcPr>
          <w:p w14:paraId="32567513" w14:textId="624C629B" w:rsidR="004F0937" w:rsidRDefault="004F0937" w:rsidP="003E4C9B">
            <w:pPr>
              <w:spacing w:line="240" w:lineRule="auto"/>
            </w:pPr>
            <w:r>
              <w:t>£128,053.00</w:t>
            </w:r>
          </w:p>
        </w:tc>
      </w:tr>
    </w:tbl>
    <w:p w14:paraId="0C9AE60A" w14:textId="77777777" w:rsidR="00134AC9" w:rsidRDefault="00134AC9" w:rsidP="00793DD5">
      <w:pPr>
        <w:tabs>
          <w:tab w:val="left" w:pos="5400"/>
        </w:tabs>
      </w:pPr>
    </w:p>
    <w:p w14:paraId="66468032" w14:textId="77777777" w:rsidR="00134AC9" w:rsidRDefault="00134AC9" w:rsidP="00793DD5">
      <w:pPr>
        <w:tabs>
          <w:tab w:val="left" w:pos="5400"/>
        </w:tabs>
      </w:pPr>
    </w:p>
    <w:p w14:paraId="52F37229" w14:textId="77777777" w:rsidR="00134AC9" w:rsidRDefault="00134AC9" w:rsidP="00793DD5">
      <w:pPr>
        <w:tabs>
          <w:tab w:val="left" w:pos="5400"/>
        </w:tabs>
      </w:pPr>
    </w:p>
    <w:p w14:paraId="75CF8014" w14:textId="77777777" w:rsidR="00134AC9" w:rsidRDefault="00134AC9" w:rsidP="00793DD5"/>
    <w:p w14:paraId="7E5AE546" w14:textId="77777777" w:rsidR="005E10CA" w:rsidRDefault="005E10CA" w:rsidP="005E10CA"/>
    <w:p w14:paraId="34BDABBE" w14:textId="758EA5F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AC300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2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E2FFB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2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96108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2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1111A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2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C6C78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2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B4535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2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34AC9"/>
    <w:rsid w:val="00141533"/>
    <w:rsid w:val="001576DD"/>
    <w:rsid w:val="00160D53"/>
    <w:rsid w:val="00167528"/>
    <w:rsid w:val="00195CC4"/>
    <w:rsid w:val="00207326"/>
    <w:rsid w:val="00253DF6"/>
    <w:rsid w:val="00255F1E"/>
    <w:rsid w:val="0026430E"/>
    <w:rsid w:val="002B7893"/>
    <w:rsid w:val="002D74E5"/>
    <w:rsid w:val="003275A7"/>
    <w:rsid w:val="00332319"/>
    <w:rsid w:val="0036503B"/>
    <w:rsid w:val="003D6D03"/>
    <w:rsid w:val="003E12CA"/>
    <w:rsid w:val="003E4C9B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0937"/>
    <w:rsid w:val="004F653C"/>
    <w:rsid w:val="005056EC"/>
    <w:rsid w:val="00540A52"/>
    <w:rsid w:val="00557306"/>
    <w:rsid w:val="005D7DE5"/>
    <w:rsid w:val="005E10CA"/>
    <w:rsid w:val="00645CFA"/>
    <w:rsid w:val="006916C7"/>
    <w:rsid w:val="006B097A"/>
    <w:rsid w:val="006D5799"/>
    <w:rsid w:val="00743BB0"/>
    <w:rsid w:val="00750D83"/>
    <w:rsid w:val="00752ED6"/>
    <w:rsid w:val="00781BAF"/>
    <w:rsid w:val="00785DBC"/>
    <w:rsid w:val="00793DD5"/>
    <w:rsid w:val="007D55F6"/>
    <w:rsid w:val="007F490F"/>
    <w:rsid w:val="0086779C"/>
    <w:rsid w:val="00874BFD"/>
    <w:rsid w:val="008964EF"/>
    <w:rsid w:val="008B12CE"/>
    <w:rsid w:val="00915E01"/>
    <w:rsid w:val="009631A4"/>
    <w:rsid w:val="0097011D"/>
    <w:rsid w:val="00977296"/>
    <w:rsid w:val="00A05508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E72EA"/>
    <w:rsid w:val="00BF6B81"/>
    <w:rsid w:val="00BF6D28"/>
    <w:rsid w:val="00C05EED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174C2"/>
    <w:rsid w:val="00D27DC5"/>
    <w:rsid w:val="00D44B13"/>
    <w:rsid w:val="00D47E36"/>
    <w:rsid w:val="00D7784F"/>
    <w:rsid w:val="00D9633F"/>
    <w:rsid w:val="00DC2B74"/>
    <w:rsid w:val="00E55D79"/>
    <w:rsid w:val="00EC63BE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2389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2024-10-04T09:21:00Z</cp:lastPrinted>
  <dcterms:created xsi:type="dcterms:W3CDTF">2024-10-02T12:09:00Z</dcterms:created>
  <dcterms:modified xsi:type="dcterms:W3CDTF">2024-10-04T09:21:00Z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