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C979D9" w:rsidR="00B17211" w:rsidRPr="00B17211" w:rsidRDefault="00B17211" w:rsidP="007F490F">
            <w:r w:rsidRPr="007F490F">
              <w:rPr>
                <w:rStyle w:val="Heading2Char"/>
              </w:rPr>
              <w:t>Our reference:</w:t>
            </w:r>
            <w:r>
              <w:t xml:space="preserve">  FOI 2</w:t>
            </w:r>
            <w:r w:rsidR="00B654B6">
              <w:t>4</w:t>
            </w:r>
            <w:r>
              <w:t>-</w:t>
            </w:r>
            <w:r w:rsidR="0098454D">
              <w:t>1860</w:t>
            </w:r>
          </w:p>
          <w:p w14:paraId="34BDABA6" w14:textId="30CACF7A" w:rsidR="00B17211" w:rsidRDefault="00456324" w:rsidP="00EE2373">
            <w:r w:rsidRPr="007F490F">
              <w:rPr>
                <w:rStyle w:val="Heading2Char"/>
              </w:rPr>
              <w:t>Respon</w:t>
            </w:r>
            <w:r w:rsidR="007D55F6">
              <w:rPr>
                <w:rStyle w:val="Heading2Char"/>
              </w:rPr>
              <w:t>ded to:</w:t>
            </w:r>
            <w:r w:rsidR="007F490F">
              <w:t xml:space="preserve">  </w:t>
            </w:r>
            <w:r w:rsidR="00611CE2">
              <w:t>30</w:t>
            </w:r>
            <w:r w:rsidR="00EF37F8">
              <w:t xml:space="preserve"> </w:t>
            </w:r>
            <w:r w:rsidR="0098454D">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348BEB" w14:textId="7FB470CC" w:rsidR="0098454D" w:rsidRPr="0098454D" w:rsidRDefault="0098454D" w:rsidP="0098454D">
      <w:pPr>
        <w:pStyle w:val="Heading2"/>
      </w:pPr>
      <w:r>
        <w:t>P</w:t>
      </w:r>
      <w:r w:rsidRPr="0098454D">
        <w:t>lease provide, from Jan 2018 up until the most current month available at the point of production, the following:</w:t>
      </w:r>
    </w:p>
    <w:p w14:paraId="27A95C86" w14:textId="19AF470C" w:rsidR="0098454D" w:rsidRPr="0098454D" w:rsidRDefault="0098454D" w:rsidP="0098454D">
      <w:pPr>
        <w:pStyle w:val="Heading2"/>
      </w:pPr>
      <w:r w:rsidRPr="0098454D">
        <w:t>The number of mental health related 999 calls your force received</w:t>
      </w:r>
    </w:p>
    <w:p w14:paraId="274F4E02" w14:textId="2465821C" w:rsidR="0098454D" w:rsidRPr="0098454D" w:rsidRDefault="0098454D" w:rsidP="0098454D">
      <w:pPr>
        <w:pStyle w:val="Heading2"/>
      </w:pPr>
      <w:r w:rsidRPr="0098454D">
        <w:t>The number of mental health related 999 calls to which your force responded</w:t>
      </w:r>
    </w:p>
    <w:p w14:paraId="28706796" w14:textId="78C54901" w:rsidR="0098454D" w:rsidRPr="0098454D" w:rsidRDefault="0098454D" w:rsidP="0098454D">
      <w:pPr>
        <w:pStyle w:val="Heading2"/>
      </w:pPr>
      <w:r w:rsidRPr="0098454D">
        <w:t>Detainments under Section 136 of the Mental Health Act 1983</w:t>
      </w:r>
    </w:p>
    <w:p w14:paraId="4A489656" w14:textId="77777777" w:rsidR="0098454D" w:rsidRPr="0098454D" w:rsidRDefault="0098454D" w:rsidP="0098454D">
      <w:pPr>
        <w:pStyle w:val="Heading2"/>
      </w:pPr>
      <w:r w:rsidRPr="0098454D">
        <w:t>Additionally, if available, please provide for the same period the following split by the county in which the incident occurred:</w:t>
      </w:r>
    </w:p>
    <w:p w14:paraId="0F1C230E" w14:textId="50450EDB" w:rsidR="0098454D" w:rsidRDefault="0098454D" w:rsidP="0098454D">
      <w:pPr>
        <w:pStyle w:val="Heading2"/>
      </w:pPr>
      <w:r w:rsidRPr="0098454D">
        <w:t xml:space="preserve">The number of mental health related 999 calls your force received </w:t>
      </w:r>
    </w:p>
    <w:p w14:paraId="62E6CF67" w14:textId="391B6FC4" w:rsidR="0098454D" w:rsidRDefault="0098454D" w:rsidP="0098454D">
      <w:pPr>
        <w:pStyle w:val="Heading2"/>
      </w:pPr>
      <w:r w:rsidRPr="0098454D">
        <w:t xml:space="preserve">The number of mental health related 999 calls to which your force responded </w:t>
      </w:r>
    </w:p>
    <w:p w14:paraId="18FFA8A2" w14:textId="252A8140" w:rsidR="0098454D" w:rsidRPr="0098454D" w:rsidRDefault="0098454D" w:rsidP="0098454D">
      <w:pPr>
        <w:pStyle w:val="Heading2"/>
      </w:pPr>
      <w:r w:rsidRPr="0098454D">
        <w:t>Detainments under Section 136 of the Mental Health Act 1983</w:t>
      </w:r>
    </w:p>
    <w:p w14:paraId="2BF4275D" w14:textId="77777777" w:rsidR="0098454D" w:rsidRPr="0098454D" w:rsidRDefault="0098454D" w:rsidP="0098454D">
      <w:pPr>
        <w:pStyle w:val="Heading2"/>
      </w:pPr>
      <w:r w:rsidRPr="0098454D">
        <w:t>Additionally, if available, please provide for the same period the following split by whether or not the person involved was under the age of 18:</w:t>
      </w:r>
    </w:p>
    <w:p w14:paraId="3C47DC89" w14:textId="6AAD3210" w:rsidR="0098454D" w:rsidRDefault="0098454D" w:rsidP="0098454D">
      <w:pPr>
        <w:pStyle w:val="Heading2"/>
      </w:pPr>
      <w:r w:rsidRPr="0098454D">
        <w:t xml:space="preserve">The number of mental health related 999 calls your force received </w:t>
      </w:r>
    </w:p>
    <w:p w14:paraId="6D1572C9" w14:textId="11668A66" w:rsidR="0098454D" w:rsidRDefault="0098454D" w:rsidP="0098454D">
      <w:pPr>
        <w:pStyle w:val="Heading2"/>
      </w:pPr>
      <w:r w:rsidRPr="0098454D">
        <w:rPr>
          <w:rFonts w:ascii="Tahoma" w:hAnsi="Tahoma" w:cs="Tahoma"/>
        </w:rPr>
        <w:t>⁠</w:t>
      </w:r>
      <w:r w:rsidRPr="0098454D">
        <w:t xml:space="preserve">The number of mental health related 999 calls to which your force responded </w:t>
      </w:r>
    </w:p>
    <w:p w14:paraId="46175F21" w14:textId="25D824D4" w:rsidR="0098454D" w:rsidRPr="0098454D" w:rsidRDefault="0098454D" w:rsidP="0098454D">
      <w:pPr>
        <w:pStyle w:val="Heading2"/>
      </w:pPr>
      <w:r w:rsidRPr="0098454D">
        <w:t>Detainments under Section 136 of the Mental Health Act 1983</w:t>
      </w:r>
    </w:p>
    <w:p w14:paraId="41025883" w14:textId="77777777" w:rsidR="0098454D" w:rsidRDefault="0098454D" w:rsidP="0098454D">
      <w:pPr>
        <w:pStyle w:val="Heading2"/>
      </w:pPr>
      <w:r w:rsidRPr="0098454D">
        <w:t>If monthly totals are not available, please provide annual totals instead. If the whole period requested is not available, please instead provide figures from the earliest point available up until the most recent at the point of production.</w:t>
      </w:r>
    </w:p>
    <w:p w14:paraId="6D96DC97" w14:textId="5FD46E78" w:rsidR="00D27028" w:rsidRDefault="00C54546" w:rsidP="00D27028">
      <w:r>
        <w:t>Section 136 of the Mental Health Act 1983</w:t>
      </w:r>
      <w:r w:rsidR="00D326D8">
        <w:t xml:space="preserve"> does not apply in Scotland </w:t>
      </w:r>
      <w:r w:rsidR="004B392F">
        <w:t>and s</w:t>
      </w:r>
      <w:r w:rsidR="00D326D8" w:rsidRPr="007D1918">
        <w:t xml:space="preserve">ection 17 of the </w:t>
      </w:r>
      <w:r w:rsidR="004B392F">
        <w:t>Act therefore applies - the information sought is not held.</w:t>
      </w:r>
    </w:p>
    <w:p w14:paraId="2EE947BF" w14:textId="77777777" w:rsidR="004B392F" w:rsidRDefault="004B392F" w:rsidP="00D27028"/>
    <w:p w14:paraId="6E0B531B" w14:textId="103A170B" w:rsidR="004B392F" w:rsidRDefault="00D27028" w:rsidP="00D27028">
      <w:r>
        <w:lastRenderedPageBreak/>
        <w:t xml:space="preserve">The table below details </w:t>
      </w:r>
      <w:r w:rsidR="007D6523">
        <w:t xml:space="preserve">officer </w:t>
      </w:r>
      <w:r w:rsidR="00E519E4">
        <w:t xml:space="preserve">attended </w:t>
      </w:r>
      <w:r>
        <w:t>mental health incidents for the period 1 January 20</w:t>
      </w:r>
      <w:r w:rsidR="004B392F">
        <w:t>18</w:t>
      </w:r>
      <w:r>
        <w:t xml:space="preserve"> to 31 July 2024</w:t>
      </w:r>
      <w:r w:rsidR="004B392F">
        <w:t>, where the source of the incident is recorded as ‘999’, broken down by division:</w:t>
      </w:r>
      <w:r>
        <w:t xml:space="preserve"> </w:t>
      </w:r>
    </w:p>
    <w:tbl>
      <w:tblPr>
        <w:tblStyle w:val="TableGrid"/>
        <w:tblW w:w="9739" w:type="dxa"/>
        <w:tblLook w:val="04A0" w:firstRow="1" w:lastRow="0" w:firstColumn="1" w:lastColumn="0" w:noHBand="0" w:noVBand="1"/>
      </w:tblPr>
      <w:tblGrid>
        <w:gridCol w:w="3029"/>
        <w:gridCol w:w="884"/>
        <w:gridCol w:w="750"/>
        <w:gridCol w:w="750"/>
        <w:gridCol w:w="884"/>
        <w:gridCol w:w="884"/>
        <w:gridCol w:w="884"/>
        <w:gridCol w:w="750"/>
        <w:gridCol w:w="1116"/>
      </w:tblGrid>
      <w:tr w:rsidR="004B392F" w:rsidRPr="004B392F" w14:paraId="482A656C" w14:textId="77777777" w:rsidTr="00E519E4">
        <w:trPr>
          <w:trHeight w:val="300"/>
        </w:trPr>
        <w:tc>
          <w:tcPr>
            <w:tcW w:w="3029" w:type="dxa"/>
            <w:shd w:val="clear" w:color="auto" w:fill="D9D9D9" w:themeFill="background1" w:themeFillShade="D9"/>
            <w:noWrap/>
            <w:hideMark/>
          </w:tcPr>
          <w:p w14:paraId="51EB201D" w14:textId="77777777" w:rsidR="004B392F" w:rsidRPr="004B392F" w:rsidRDefault="004B392F" w:rsidP="00E519E4">
            <w:pPr>
              <w:spacing w:line="240" w:lineRule="auto"/>
              <w:rPr>
                <w:b/>
                <w:bCs/>
              </w:rPr>
            </w:pPr>
            <w:r w:rsidRPr="004B392F">
              <w:rPr>
                <w:b/>
                <w:bCs/>
              </w:rPr>
              <w:t>Row Labels</w:t>
            </w:r>
          </w:p>
        </w:tc>
        <w:tc>
          <w:tcPr>
            <w:tcW w:w="884" w:type="dxa"/>
            <w:shd w:val="clear" w:color="auto" w:fill="D9D9D9" w:themeFill="background1" w:themeFillShade="D9"/>
            <w:noWrap/>
            <w:hideMark/>
          </w:tcPr>
          <w:p w14:paraId="443BE435" w14:textId="77777777" w:rsidR="004B392F" w:rsidRPr="004B392F" w:rsidRDefault="004B392F" w:rsidP="00E519E4">
            <w:pPr>
              <w:spacing w:line="240" w:lineRule="auto"/>
              <w:rPr>
                <w:b/>
                <w:bCs/>
              </w:rPr>
            </w:pPr>
            <w:r w:rsidRPr="004B392F">
              <w:rPr>
                <w:b/>
                <w:bCs/>
              </w:rPr>
              <w:t>2018</w:t>
            </w:r>
          </w:p>
        </w:tc>
        <w:tc>
          <w:tcPr>
            <w:tcW w:w="724" w:type="dxa"/>
            <w:shd w:val="clear" w:color="auto" w:fill="D9D9D9" w:themeFill="background1" w:themeFillShade="D9"/>
            <w:noWrap/>
            <w:hideMark/>
          </w:tcPr>
          <w:p w14:paraId="48AE9FC4" w14:textId="77777777" w:rsidR="004B392F" w:rsidRPr="004B392F" w:rsidRDefault="004B392F" w:rsidP="00E519E4">
            <w:pPr>
              <w:spacing w:line="240" w:lineRule="auto"/>
              <w:rPr>
                <w:b/>
                <w:bCs/>
              </w:rPr>
            </w:pPr>
            <w:r w:rsidRPr="004B392F">
              <w:rPr>
                <w:b/>
                <w:bCs/>
              </w:rPr>
              <w:t>2019</w:t>
            </w:r>
          </w:p>
        </w:tc>
        <w:tc>
          <w:tcPr>
            <w:tcW w:w="724" w:type="dxa"/>
            <w:shd w:val="clear" w:color="auto" w:fill="D9D9D9" w:themeFill="background1" w:themeFillShade="D9"/>
            <w:noWrap/>
            <w:hideMark/>
          </w:tcPr>
          <w:p w14:paraId="6E340C39" w14:textId="77777777" w:rsidR="004B392F" w:rsidRPr="004B392F" w:rsidRDefault="004B392F" w:rsidP="00E519E4">
            <w:pPr>
              <w:spacing w:line="240" w:lineRule="auto"/>
              <w:rPr>
                <w:b/>
                <w:bCs/>
              </w:rPr>
            </w:pPr>
            <w:r w:rsidRPr="004B392F">
              <w:rPr>
                <w:b/>
                <w:bCs/>
              </w:rPr>
              <w:t>2020</w:t>
            </w:r>
          </w:p>
        </w:tc>
        <w:tc>
          <w:tcPr>
            <w:tcW w:w="846" w:type="dxa"/>
            <w:shd w:val="clear" w:color="auto" w:fill="D9D9D9" w:themeFill="background1" w:themeFillShade="D9"/>
            <w:noWrap/>
            <w:hideMark/>
          </w:tcPr>
          <w:p w14:paraId="5DC5E7BB" w14:textId="77777777" w:rsidR="004B392F" w:rsidRPr="004B392F" w:rsidRDefault="004B392F" w:rsidP="00E519E4">
            <w:pPr>
              <w:spacing w:line="240" w:lineRule="auto"/>
              <w:rPr>
                <w:b/>
                <w:bCs/>
              </w:rPr>
            </w:pPr>
            <w:r w:rsidRPr="004B392F">
              <w:rPr>
                <w:b/>
                <w:bCs/>
              </w:rPr>
              <w:t>2021</w:t>
            </w:r>
          </w:p>
        </w:tc>
        <w:tc>
          <w:tcPr>
            <w:tcW w:w="846" w:type="dxa"/>
            <w:shd w:val="clear" w:color="auto" w:fill="D9D9D9" w:themeFill="background1" w:themeFillShade="D9"/>
            <w:noWrap/>
            <w:hideMark/>
          </w:tcPr>
          <w:p w14:paraId="0C57E90C" w14:textId="77777777" w:rsidR="004B392F" w:rsidRPr="004B392F" w:rsidRDefault="004B392F" w:rsidP="00E519E4">
            <w:pPr>
              <w:spacing w:line="240" w:lineRule="auto"/>
              <w:rPr>
                <w:b/>
                <w:bCs/>
              </w:rPr>
            </w:pPr>
            <w:r w:rsidRPr="004B392F">
              <w:rPr>
                <w:b/>
                <w:bCs/>
              </w:rPr>
              <w:t>2022</w:t>
            </w:r>
          </w:p>
        </w:tc>
        <w:tc>
          <w:tcPr>
            <w:tcW w:w="846" w:type="dxa"/>
            <w:shd w:val="clear" w:color="auto" w:fill="D9D9D9" w:themeFill="background1" w:themeFillShade="D9"/>
            <w:noWrap/>
            <w:hideMark/>
          </w:tcPr>
          <w:p w14:paraId="23942B5B" w14:textId="77777777" w:rsidR="004B392F" w:rsidRPr="004B392F" w:rsidRDefault="004B392F" w:rsidP="00E519E4">
            <w:pPr>
              <w:spacing w:line="240" w:lineRule="auto"/>
              <w:rPr>
                <w:b/>
                <w:bCs/>
              </w:rPr>
            </w:pPr>
            <w:r w:rsidRPr="004B392F">
              <w:rPr>
                <w:b/>
                <w:bCs/>
              </w:rPr>
              <w:t>2023</w:t>
            </w:r>
          </w:p>
        </w:tc>
        <w:tc>
          <w:tcPr>
            <w:tcW w:w="724" w:type="dxa"/>
            <w:shd w:val="clear" w:color="auto" w:fill="D9D9D9" w:themeFill="background1" w:themeFillShade="D9"/>
            <w:noWrap/>
            <w:hideMark/>
          </w:tcPr>
          <w:p w14:paraId="06500C2B" w14:textId="77777777" w:rsidR="004B392F" w:rsidRPr="004B392F" w:rsidRDefault="004B392F" w:rsidP="00E519E4">
            <w:pPr>
              <w:spacing w:line="240" w:lineRule="auto"/>
              <w:rPr>
                <w:b/>
                <w:bCs/>
              </w:rPr>
            </w:pPr>
            <w:r w:rsidRPr="004B392F">
              <w:rPr>
                <w:b/>
                <w:bCs/>
              </w:rPr>
              <w:t>2024</w:t>
            </w:r>
          </w:p>
        </w:tc>
        <w:tc>
          <w:tcPr>
            <w:tcW w:w="1116" w:type="dxa"/>
            <w:shd w:val="clear" w:color="auto" w:fill="D9D9D9" w:themeFill="background1" w:themeFillShade="D9"/>
            <w:noWrap/>
            <w:hideMark/>
          </w:tcPr>
          <w:p w14:paraId="47EF7363" w14:textId="7D924005" w:rsidR="004B392F" w:rsidRPr="004B392F" w:rsidRDefault="004B392F" w:rsidP="00E519E4">
            <w:pPr>
              <w:spacing w:line="240" w:lineRule="auto"/>
              <w:rPr>
                <w:b/>
                <w:bCs/>
              </w:rPr>
            </w:pPr>
            <w:r w:rsidRPr="004B392F">
              <w:rPr>
                <w:b/>
                <w:bCs/>
              </w:rPr>
              <w:t>Total</w:t>
            </w:r>
          </w:p>
        </w:tc>
      </w:tr>
      <w:tr w:rsidR="00E519E4" w:rsidRPr="004B392F" w14:paraId="7D7D2C2F" w14:textId="77777777" w:rsidTr="00E519E4">
        <w:trPr>
          <w:trHeight w:val="300"/>
        </w:trPr>
        <w:tc>
          <w:tcPr>
            <w:tcW w:w="3029" w:type="dxa"/>
            <w:noWrap/>
            <w:hideMark/>
          </w:tcPr>
          <w:p w14:paraId="1D81AC84" w14:textId="77777777" w:rsidR="004B392F" w:rsidRPr="004B392F" w:rsidRDefault="004B392F" w:rsidP="00E519E4">
            <w:pPr>
              <w:spacing w:line="240" w:lineRule="auto"/>
            </w:pPr>
            <w:r w:rsidRPr="004B392F">
              <w:t>Argyll and West Dunbartonshire</w:t>
            </w:r>
          </w:p>
        </w:tc>
        <w:tc>
          <w:tcPr>
            <w:tcW w:w="884" w:type="dxa"/>
            <w:noWrap/>
            <w:hideMark/>
          </w:tcPr>
          <w:p w14:paraId="12C3F3FC" w14:textId="77777777" w:rsidR="004B392F" w:rsidRPr="004B392F" w:rsidRDefault="004B392F" w:rsidP="00E519E4">
            <w:pPr>
              <w:spacing w:line="240" w:lineRule="auto"/>
            </w:pPr>
            <w:r w:rsidRPr="004B392F">
              <w:t>146</w:t>
            </w:r>
          </w:p>
        </w:tc>
        <w:tc>
          <w:tcPr>
            <w:tcW w:w="724" w:type="dxa"/>
            <w:noWrap/>
            <w:hideMark/>
          </w:tcPr>
          <w:p w14:paraId="0273CE96" w14:textId="77777777" w:rsidR="004B392F" w:rsidRPr="004B392F" w:rsidRDefault="004B392F" w:rsidP="00E519E4">
            <w:pPr>
              <w:spacing w:line="240" w:lineRule="auto"/>
            </w:pPr>
            <w:r w:rsidRPr="004B392F">
              <w:t>348</w:t>
            </w:r>
          </w:p>
        </w:tc>
        <w:tc>
          <w:tcPr>
            <w:tcW w:w="724" w:type="dxa"/>
            <w:noWrap/>
            <w:hideMark/>
          </w:tcPr>
          <w:p w14:paraId="2FC90146" w14:textId="77777777" w:rsidR="004B392F" w:rsidRPr="004B392F" w:rsidRDefault="004B392F" w:rsidP="00E519E4">
            <w:pPr>
              <w:spacing w:line="240" w:lineRule="auto"/>
            </w:pPr>
            <w:r w:rsidRPr="004B392F">
              <w:t>375</w:t>
            </w:r>
          </w:p>
        </w:tc>
        <w:tc>
          <w:tcPr>
            <w:tcW w:w="846" w:type="dxa"/>
            <w:noWrap/>
            <w:hideMark/>
          </w:tcPr>
          <w:p w14:paraId="4D42976C" w14:textId="77777777" w:rsidR="004B392F" w:rsidRPr="004B392F" w:rsidRDefault="004B392F" w:rsidP="00E519E4">
            <w:pPr>
              <w:spacing w:line="240" w:lineRule="auto"/>
            </w:pPr>
            <w:r w:rsidRPr="004B392F">
              <w:t>457</w:t>
            </w:r>
          </w:p>
        </w:tc>
        <w:tc>
          <w:tcPr>
            <w:tcW w:w="846" w:type="dxa"/>
            <w:noWrap/>
            <w:hideMark/>
          </w:tcPr>
          <w:p w14:paraId="0EB7F589" w14:textId="77777777" w:rsidR="004B392F" w:rsidRPr="004B392F" w:rsidRDefault="004B392F" w:rsidP="00E519E4">
            <w:pPr>
              <w:spacing w:line="240" w:lineRule="auto"/>
            </w:pPr>
            <w:r w:rsidRPr="004B392F">
              <w:t>496</w:t>
            </w:r>
          </w:p>
        </w:tc>
        <w:tc>
          <w:tcPr>
            <w:tcW w:w="846" w:type="dxa"/>
            <w:noWrap/>
            <w:hideMark/>
          </w:tcPr>
          <w:p w14:paraId="42534071" w14:textId="77777777" w:rsidR="004B392F" w:rsidRPr="004B392F" w:rsidRDefault="004B392F" w:rsidP="00E519E4">
            <w:pPr>
              <w:spacing w:line="240" w:lineRule="auto"/>
            </w:pPr>
            <w:r w:rsidRPr="004B392F">
              <w:t>483</w:t>
            </w:r>
          </w:p>
        </w:tc>
        <w:tc>
          <w:tcPr>
            <w:tcW w:w="724" w:type="dxa"/>
            <w:noWrap/>
            <w:hideMark/>
          </w:tcPr>
          <w:p w14:paraId="0EDC0752" w14:textId="77777777" w:rsidR="004B392F" w:rsidRPr="004B392F" w:rsidRDefault="004B392F" w:rsidP="00E519E4">
            <w:pPr>
              <w:spacing w:line="240" w:lineRule="auto"/>
            </w:pPr>
            <w:r w:rsidRPr="004B392F">
              <w:t>281</w:t>
            </w:r>
          </w:p>
        </w:tc>
        <w:tc>
          <w:tcPr>
            <w:tcW w:w="1116" w:type="dxa"/>
            <w:noWrap/>
            <w:hideMark/>
          </w:tcPr>
          <w:p w14:paraId="2A118738" w14:textId="77777777" w:rsidR="004B392F" w:rsidRPr="004B392F" w:rsidRDefault="004B392F" w:rsidP="00E519E4">
            <w:pPr>
              <w:spacing w:line="240" w:lineRule="auto"/>
            </w:pPr>
            <w:r w:rsidRPr="004B392F">
              <w:t>2586</w:t>
            </w:r>
          </w:p>
        </w:tc>
      </w:tr>
      <w:tr w:rsidR="00E519E4" w:rsidRPr="004B392F" w14:paraId="24234489" w14:textId="77777777" w:rsidTr="00E519E4">
        <w:trPr>
          <w:trHeight w:val="300"/>
        </w:trPr>
        <w:tc>
          <w:tcPr>
            <w:tcW w:w="3029" w:type="dxa"/>
            <w:noWrap/>
            <w:hideMark/>
          </w:tcPr>
          <w:p w14:paraId="4614F3CC" w14:textId="77777777" w:rsidR="004B392F" w:rsidRPr="004B392F" w:rsidRDefault="004B392F" w:rsidP="00E519E4">
            <w:pPr>
              <w:spacing w:line="240" w:lineRule="auto"/>
            </w:pPr>
            <w:r w:rsidRPr="004B392F">
              <w:t>Ayrshire</w:t>
            </w:r>
          </w:p>
        </w:tc>
        <w:tc>
          <w:tcPr>
            <w:tcW w:w="884" w:type="dxa"/>
            <w:noWrap/>
            <w:hideMark/>
          </w:tcPr>
          <w:p w14:paraId="2CD9A22A" w14:textId="77777777" w:rsidR="004B392F" w:rsidRPr="004B392F" w:rsidRDefault="004B392F" w:rsidP="00E519E4">
            <w:pPr>
              <w:spacing w:line="240" w:lineRule="auto"/>
            </w:pPr>
            <w:r w:rsidRPr="004B392F">
              <w:t>285</w:t>
            </w:r>
          </w:p>
        </w:tc>
        <w:tc>
          <w:tcPr>
            <w:tcW w:w="724" w:type="dxa"/>
            <w:noWrap/>
            <w:hideMark/>
          </w:tcPr>
          <w:p w14:paraId="342F02EB" w14:textId="77777777" w:rsidR="004B392F" w:rsidRPr="004B392F" w:rsidRDefault="004B392F" w:rsidP="00E519E4">
            <w:pPr>
              <w:spacing w:line="240" w:lineRule="auto"/>
            </w:pPr>
            <w:r w:rsidRPr="004B392F">
              <w:t>460</w:t>
            </w:r>
          </w:p>
        </w:tc>
        <w:tc>
          <w:tcPr>
            <w:tcW w:w="724" w:type="dxa"/>
            <w:noWrap/>
            <w:hideMark/>
          </w:tcPr>
          <w:p w14:paraId="0A8FCD29" w14:textId="77777777" w:rsidR="004B392F" w:rsidRPr="004B392F" w:rsidRDefault="004B392F" w:rsidP="00E519E4">
            <w:pPr>
              <w:spacing w:line="240" w:lineRule="auto"/>
            </w:pPr>
            <w:r w:rsidRPr="004B392F">
              <w:t>521</w:t>
            </w:r>
          </w:p>
        </w:tc>
        <w:tc>
          <w:tcPr>
            <w:tcW w:w="846" w:type="dxa"/>
            <w:noWrap/>
            <w:hideMark/>
          </w:tcPr>
          <w:p w14:paraId="49BE64ED" w14:textId="77777777" w:rsidR="004B392F" w:rsidRPr="004B392F" w:rsidRDefault="004B392F" w:rsidP="00E519E4">
            <w:pPr>
              <w:spacing w:line="240" w:lineRule="auto"/>
            </w:pPr>
            <w:r w:rsidRPr="004B392F">
              <w:t>603</w:t>
            </w:r>
          </w:p>
        </w:tc>
        <w:tc>
          <w:tcPr>
            <w:tcW w:w="846" w:type="dxa"/>
            <w:noWrap/>
            <w:hideMark/>
          </w:tcPr>
          <w:p w14:paraId="2832B96E" w14:textId="77777777" w:rsidR="004B392F" w:rsidRPr="004B392F" w:rsidRDefault="004B392F" w:rsidP="00E519E4">
            <w:pPr>
              <w:spacing w:line="240" w:lineRule="auto"/>
            </w:pPr>
            <w:r w:rsidRPr="004B392F">
              <w:t>658</w:t>
            </w:r>
          </w:p>
        </w:tc>
        <w:tc>
          <w:tcPr>
            <w:tcW w:w="846" w:type="dxa"/>
            <w:noWrap/>
            <w:hideMark/>
          </w:tcPr>
          <w:p w14:paraId="3D0088ED" w14:textId="77777777" w:rsidR="004B392F" w:rsidRPr="004B392F" w:rsidRDefault="004B392F" w:rsidP="00E519E4">
            <w:pPr>
              <w:spacing w:line="240" w:lineRule="auto"/>
            </w:pPr>
            <w:r w:rsidRPr="004B392F">
              <w:t>791</w:t>
            </w:r>
          </w:p>
        </w:tc>
        <w:tc>
          <w:tcPr>
            <w:tcW w:w="724" w:type="dxa"/>
            <w:noWrap/>
            <w:hideMark/>
          </w:tcPr>
          <w:p w14:paraId="5891CF60" w14:textId="77777777" w:rsidR="004B392F" w:rsidRPr="004B392F" w:rsidRDefault="004B392F" w:rsidP="00E519E4">
            <w:pPr>
              <w:spacing w:line="240" w:lineRule="auto"/>
            </w:pPr>
            <w:r w:rsidRPr="004B392F">
              <w:t>540</w:t>
            </w:r>
          </w:p>
        </w:tc>
        <w:tc>
          <w:tcPr>
            <w:tcW w:w="1116" w:type="dxa"/>
            <w:noWrap/>
            <w:hideMark/>
          </w:tcPr>
          <w:p w14:paraId="6CCD8990" w14:textId="77777777" w:rsidR="004B392F" w:rsidRPr="004B392F" w:rsidRDefault="004B392F" w:rsidP="00E519E4">
            <w:pPr>
              <w:spacing w:line="240" w:lineRule="auto"/>
            </w:pPr>
            <w:r w:rsidRPr="004B392F">
              <w:t>3858</w:t>
            </w:r>
          </w:p>
        </w:tc>
      </w:tr>
      <w:tr w:rsidR="00E519E4" w:rsidRPr="004B392F" w14:paraId="30BD57A2" w14:textId="77777777" w:rsidTr="00E519E4">
        <w:trPr>
          <w:trHeight w:val="300"/>
        </w:trPr>
        <w:tc>
          <w:tcPr>
            <w:tcW w:w="3029" w:type="dxa"/>
            <w:noWrap/>
            <w:hideMark/>
          </w:tcPr>
          <w:p w14:paraId="780912E8" w14:textId="77777777" w:rsidR="004B392F" w:rsidRPr="004B392F" w:rsidRDefault="004B392F" w:rsidP="00E519E4">
            <w:pPr>
              <w:spacing w:line="240" w:lineRule="auto"/>
            </w:pPr>
            <w:r w:rsidRPr="004B392F">
              <w:t>Dumfries and Galloway</w:t>
            </w:r>
          </w:p>
        </w:tc>
        <w:tc>
          <w:tcPr>
            <w:tcW w:w="884" w:type="dxa"/>
            <w:noWrap/>
            <w:hideMark/>
          </w:tcPr>
          <w:p w14:paraId="0F275801" w14:textId="77777777" w:rsidR="004B392F" w:rsidRPr="004B392F" w:rsidRDefault="004B392F" w:rsidP="00E519E4">
            <w:pPr>
              <w:spacing w:line="240" w:lineRule="auto"/>
            </w:pPr>
            <w:r w:rsidRPr="004B392F">
              <w:t>123</w:t>
            </w:r>
          </w:p>
        </w:tc>
        <w:tc>
          <w:tcPr>
            <w:tcW w:w="724" w:type="dxa"/>
            <w:noWrap/>
            <w:hideMark/>
          </w:tcPr>
          <w:p w14:paraId="7367CC71" w14:textId="77777777" w:rsidR="004B392F" w:rsidRPr="004B392F" w:rsidRDefault="004B392F" w:rsidP="00E519E4">
            <w:pPr>
              <w:spacing w:line="240" w:lineRule="auto"/>
            </w:pPr>
            <w:r w:rsidRPr="004B392F">
              <w:t>165</w:t>
            </w:r>
          </w:p>
        </w:tc>
        <w:tc>
          <w:tcPr>
            <w:tcW w:w="724" w:type="dxa"/>
            <w:noWrap/>
            <w:hideMark/>
          </w:tcPr>
          <w:p w14:paraId="701B0016" w14:textId="77777777" w:rsidR="004B392F" w:rsidRPr="004B392F" w:rsidRDefault="004B392F" w:rsidP="00E519E4">
            <w:pPr>
              <w:spacing w:line="240" w:lineRule="auto"/>
            </w:pPr>
            <w:r w:rsidRPr="004B392F">
              <w:t>239</w:t>
            </w:r>
          </w:p>
        </w:tc>
        <w:tc>
          <w:tcPr>
            <w:tcW w:w="846" w:type="dxa"/>
            <w:noWrap/>
            <w:hideMark/>
          </w:tcPr>
          <w:p w14:paraId="56DF41B4" w14:textId="77777777" w:rsidR="004B392F" w:rsidRPr="004B392F" w:rsidRDefault="004B392F" w:rsidP="00E519E4">
            <w:pPr>
              <w:spacing w:line="240" w:lineRule="auto"/>
            </w:pPr>
            <w:r w:rsidRPr="004B392F">
              <w:t>272</w:t>
            </w:r>
          </w:p>
        </w:tc>
        <w:tc>
          <w:tcPr>
            <w:tcW w:w="846" w:type="dxa"/>
            <w:noWrap/>
            <w:hideMark/>
          </w:tcPr>
          <w:p w14:paraId="4DE87E04" w14:textId="77777777" w:rsidR="004B392F" w:rsidRPr="004B392F" w:rsidRDefault="004B392F" w:rsidP="00E519E4">
            <w:pPr>
              <w:spacing w:line="240" w:lineRule="auto"/>
            </w:pPr>
            <w:r w:rsidRPr="004B392F">
              <w:t>312</w:t>
            </w:r>
          </w:p>
        </w:tc>
        <w:tc>
          <w:tcPr>
            <w:tcW w:w="846" w:type="dxa"/>
            <w:noWrap/>
            <w:hideMark/>
          </w:tcPr>
          <w:p w14:paraId="6B37414F" w14:textId="77777777" w:rsidR="004B392F" w:rsidRPr="004B392F" w:rsidRDefault="004B392F" w:rsidP="00E519E4">
            <w:pPr>
              <w:spacing w:line="240" w:lineRule="auto"/>
            </w:pPr>
            <w:r w:rsidRPr="004B392F">
              <w:t>267</w:t>
            </w:r>
          </w:p>
        </w:tc>
        <w:tc>
          <w:tcPr>
            <w:tcW w:w="724" w:type="dxa"/>
            <w:noWrap/>
            <w:hideMark/>
          </w:tcPr>
          <w:p w14:paraId="41D15615" w14:textId="77777777" w:rsidR="004B392F" w:rsidRPr="004B392F" w:rsidRDefault="004B392F" w:rsidP="00E519E4">
            <w:pPr>
              <w:spacing w:line="240" w:lineRule="auto"/>
            </w:pPr>
            <w:r w:rsidRPr="004B392F">
              <w:t>186</w:t>
            </w:r>
          </w:p>
        </w:tc>
        <w:tc>
          <w:tcPr>
            <w:tcW w:w="1116" w:type="dxa"/>
            <w:noWrap/>
            <w:hideMark/>
          </w:tcPr>
          <w:p w14:paraId="16E02A24" w14:textId="77777777" w:rsidR="004B392F" w:rsidRPr="004B392F" w:rsidRDefault="004B392F" w:rsidP="00E519E4">
            <w:pPr>
              <w:spacing w:line="240" w:lineRule="auto"/>
            </w:pPr>
            <w:r w:rsidRPr="004B392F">
              <w:t>1564</w:t>
            </w:r>
          </w:p>
        </w:tc>
      </w:tr>
      <w:tr w:rsidR="00E519E4" w:rsidRPr="004B392F" w14:paraId="0A7E0ECE" w14:textId="77777777" w:rsidTr="00E519E4">
        <w:trPr>
          <w:trHeight w:val="300"/>
        </w:trPr>
        <w:tc>
          <w:tcPr>
            <w:tcW w:w="3029" w:type="dxa"/>
            <w:noWrap/>
            <w:hideMark/>
          </w:tcPr>
          <w:p w14:paraId="6AD7B04D" w14:textId="77777777" w:rsidR="004B392F" w:rsidRPr="004B392F" w:rsidRDefault="004B392F" w:rsidP="00E519E4">
            <w:pPr>
              <w:spacing w:line="240" w:lineRule="auto"/>
            </w:pPr>
            <w:r w:rsidRPr="004B392F">
              <w:t>Edinburgh</w:t>
            </w:r>
          </w:p>
        </w:tc>
        <w:tc>
          <w:tcPr>
            <w:tcW w:w="884" w:type="dxa"/>
            <w:noWrap/>
            <w:hideMark/>
          </w:tcPr>
          <w:p w14:paraId="6F935AA1" w14:textId="77777777" w:rsidR="004B392F" w:rsidRPr="004B392F" w:rsidRDefault="004B392F" w:rsidP="00E519E4">
            <w:pPr>
              <w:spacing w:line="240" w:lineRule="auto"/>
            </w:pPr>
            <w:r w:rsidRPr="004B392F">
              <w:t>481</w:t>
            </w:r>
          </w:p>
        </w:tc>
        <w:tc>
          <w:tcPr>
            <w:tcW w:w="724" w:type="dxa"/>
            <w:noWrap/>
            <w:hideMark/>
          </w:tcPr>
          <w:p w14:paraId="0308B89F" w14:textId="77777777" w:rsidR="004B392F" w:rsidRPr="004B392F" w:rsidRDefault="004B392F" w:rsidP="00E519E4">
            <w:pPr>
              <w:spacing w:line="240" w:lineRule="auto"/>
            </w:pPr>
            <w:r w:rsidRPr="004B392F">
              <w:t>637</w:t>
            </w:r>
          </w:p>
        </w:tc>
        <w:tc>
          <w:tcPr>
            <w:tcW w:w="724" w:type="dxa"/>
            <w:noWrap/>
            <w:hideMark/>
          </w:tcPr>
          <w:p w14:paraId="009F4F0F" w14:textId="77777777" w:rsidR="004B392F" w:rsidRPr="004B392F" w:rsidRDefault="004B392F" w:rsidP="00E519E4">
            <w:pPr>
              <w:spacing w:line="240" w:lineRule="auto"/>
            </w:pPr>
            <w:r w:rsidRPr="004B392F">
              <w:t>862</w:t>
            </w:r>
          </w:p>
        </w:tc>
        <w:tc>
          <w:tcPr>
            <w:tcW w:w="846" w:type="dxa"/>
            <w:noWrap/>
            <w:hideMark/>
          </w:tcPr>
          <w:p w14:paraId="7AA894C4" w14:textId="77777777" w:rsidR="004B392F" w:rsidRPr="004B392F" w:rsidRDefault="004B392F" w:rsidP="00E519E4">
            <w:pPr>
              <w:spacing w:line="240" w:lineRule="auto"/>
            </w:pPr>
            <w:r w:rsidRPr="004B392F">
              <w:t>871</w:t>
            </w:r>
          </w:p>
        </w:tc>
        <w:tc>
          <w:tcPr>
            <w:tcW w:w="846" w:type="dxa"/>
            <w:noWrap/>
            <w:hideMark/>
          </w:tcPr>
          <w:p w14:paraId="30601B62" w14:textId="77777777" w:rsidR="004B392F" w:rsidRPr="004B392F" w:rsidRDefault="004B392F" w:rsidP="00E519E4">
            <w:pPr>
              <w:spacing w:line="240" w:lineRule="auto"/>
            </w:pPr>
            <w:r w:rsidRPr="004B392F">
              <w:t>892</w:t>
            </w:r>
          </w:p>
        </w:tc>
        <w:tc>
          <w:tcPr>
            <w:tcW w:w="846" w:type="dxa"/>
            <w:noWrap/>
            <w:hideMark/>
          </w:tcPr>
          <w:p w14:paraId="720752E5" w14:textId="77777777" w:rsidR="004B392F" w:rsidRPr="004B392F" w:rsidRDefault="004B392F" w:rsidP="00E519E4">
            <w:pPr>
              <w:spacing w:line="240" w:lineRule="auto"/>
            </w:pPr>
            <w:r w:rsidRPr="004B392F">
              <w:t>829</w:t>
            </w:r>
          </w:p>
        </w:tc>
        <w:tc>
          <w:tcPr>
            <w:tcW w:w="724" w:type="dxa"/>
            <w:noWrap/>
            <w:hideMark/>
          </w:tcPr>
          <w:p w14:paraId="1E04024C" w14:textId="77777777" w:rsidR="004B392F" w:rsidRPr="004B392F" w:rsidRDefault="004B392F" w:rsidP="00E519E4">
            <w:pPr>
              <w:spacing w:line="240" w:lineRule="auto"/>
            </w:pPr>
            <w:r w:rsidRPr="004B392F">
              <w:t>524</w:t>
            </w:r>
          </w:p>
        </w:tc>
        <w:tc>
          <w:tcPr>
            <w:tcW w:w="1116" w:type="dxa"/>
            <w:noWrap/>
            <w:hideMark/>
          </w:tcPr>
          <w:p w14:paraId="1AD8CEB1" w14:textId="77777777" w:rsidR="004B392F" w:rsidRPr="004B392F" w:rsidRDefault="004B392F" w:rsidP="00E519E4">
            <w:pPr>
              <w:spacing w:line="240" w:lineRule="auto"/>
            </w:pPr>
            <w:r w:rsidRPr="004B392F">
              <w:t>5096</w:t>
            </w:r>
          </w:p>
        </w:tc>
      </w:tr>
      <w:tr w:rsidR="00E519E4" w:rsidRPr="004B392F" w14:paraId="74DE2360" w14:textId="77777777" w:rsidTr="00E519E4">
        <w:trPr>
          <w:trHeight w:val="300"/>
        </w:trPr>
        <w:tc>
          <w:tcPr>
            <w:tcW w:w="3029" w:type="dxa"/>
            <w:noWrap/>
            <w:hideMark/>
          </w:tcPr>
          <w:p w14:paraId="210AB8A6" w14:textId="77777777" w:rsidR="004B392F" w:rsidRPr="004B392F" w:rsidRDefault="004B392F" w:rsidP="00E519E4">
            <w:pPr>
              <w:spacing w:line="240" w:lineRule="auto"/>
            </w:pPr>
            <w:r w:rsidRPr="004B392F">
              <w:t>Fife</w:t>
            </w:r>
          </w:p>
        </w:tc>
        <w:tc>
          <w:tcPr>
            <w:tcW w:w="884" w:type="dxa"/>
            <w:noWrap/>
            <w:hideMark/>
          </w:tcPr>
          <w:p w14:paraId="335A7A8B" w14:textId="77777777" w:rsidR="004B392F" w:rsidRPr="004B392F" w:rsidRDefault="004B392F" w:rsidP="00E519E4">
            <w:pPr>
              <w:spacing w:line="240" w:lineRule="auto"/>
            </w:pPr>
            <w:r w:rsidRPr="004B392F">
              <w:t>332</w:t>
            </w:r>
          </w:p>
        </w:tc>
        <w:tc>
          <w:tcPr>
            <w:tcW w:w="724" w:type="dxa"/>
            <w:noWrap/>
            <w:hideMark/>
          </w:tcPr>
          <w:p w14:paraId="311BEFDA" w14:textId="77777777" w:rsidR="004B392F" w:rsidRPr="004B392F" w:rsidRDefault="004B392F" w:rsidP="00E519E4">
            <w:pPr>
              <w:spacing w:line="240" w:lineRule="auto"/>
            </w:pPr>
            <w:r w:rsidRPr="004B392F">
              <w:t>337</w:t>
            </w:r>
          </w:p>
        </w:tc>
        <w:tc>
          <w:tcPr>
            <w:tcW w:w="724" w:type="dxa"/>
            <w:noWrap/>
            <w:hideMark/>
          </w:tcPr>
          <w:p w14:paraId="17CD515E" w14:textId="77777777" w:rsidR="004B392F" w:rsidRPr="004B392F" w:rsidRDefault="004B392F" w:rsidP="00E519E4">
            <w:pPr>
              <w:spacing w:line="240" w:lineRule="auto"/>
            </w:pPr>
            <w:r w:rsidRPr="004B392F">
              <w:t>469</w:t>
            </w:r>
          </w:p>
        </w:tc>
        <w:tc>
          <w:tcPr>
            <w:tcW w:w="846" w:type="dxa"/>
            <w:noWrap/>
            <w:hideMark/>
          </w:tcPr>
          <w:p w14:paraId="3AB74E74" w14:textId="77777777" w:rsidR="004B392F" w:rsidRPr="004B392F" w:rsidRDefault="004B392F" w:rsidP="00E519E4">
            <w:pPr>
              <w:spacing w:line="240" w:lineRule="auto"/>
            </w:pPr>
            <w:r w:rsidRPr="004B392F">
              <w:t>559</w:t>
            </w:r>
          </w:p>
        </w:tc>
        <w:tc>
          <w:tcPr>
            <w:tcW w:w="846" w:type="dxa"/>
            <w:noWrap/>
            <w:hideMark/>
          </w:tcPr>
          <w:p w14:paraId="254980AC" w14:textId="77777777" w:rsidR="004B392F" w:rsidRPr="004B392F" w:rsidRDefault="004B392F" w:rsidP="00E519E4">
            <w:pPr>
              <w:spacing w:line="240" w:lineRule="auto"/>
            </w:pPr>
            <w:r w:rsidRPr="004B392F">
              <w:t>742</w:t>
            </w:r>
          </w:p>
        </w:tc>
        <w:tc>
          <w:tcPr>
            <w:tcW w:w="846" w:type="dxa"/>
            <w:noWrap/>
            <w:hideMark/>
          </w:tcPr>
          <w:p w14:paraId="0FDA19BC" w14:textId="77777777" w:rsidR="004B392F" w:rsidRPr="004B392F" w:rsidRDefault="004B392F" w:rsidP="00E519E4">
            <w:pPr>
              <w:spacing w:line="240" w:lineRule="auto"/>
            </w:pPr>
            <w:r w:rsidRPr="004B392F">
              <w:t>704</w:t>
            </w:r>
          </w:p>
        </w:tc>
        <w:tc>
          <w:tcPr>
            <w:tcW w:w="724" w:type="dxa"/>
            <w:noWrap/>
            <w:hideMark/>
          </w:tcPr>
          <w:p w14:paraId="3D19ED35" w14:textId="77777777" w:rsidR="004B392F" w:rsidRPr="004B392F" w:rsidRDefault="004B392F" w:rsidP="00E519E4">
            <w:pPr>
              <w:spacing w:line="240" w:lineRule="auto"/>
            </w:pPr>
            <w:r w:rsidRPr="004B392F">
              <w:t>426</w:t>
            </w:r>
          </w:p>
        </w:tc>
        <w:tc>
          <w:tcPr>
            <w:tcW w:w="1116" w:type="dxa"/>
            <w:noWrap/>
            <w:hideMark/>
          </w:tcPr>
          <w:p w14:paraId="26ADCEAA" w14:textId="77777777" w:rsidR="004B392F" w:rsidRPr="004B392F" w:rsidRDefault="004B392F" w:rsidP="00E519E4">
            <w:pPr>
              <w:spacing w:line="240" w:lineRule="auto"/>
            </w:pPr>
            <w:r w:rsidRPr="004B392F">
              <w:t>3569</w:t>
            </w:r>
          </w:p>
        </w:tc>
      </w:tr>
      <w:tr w:rsidR="00E519E4" w:rsidRPr="004B392F" w14:paraId="21CD9FE1" w14:textId="77777777" w:rsidTr="00E519E4">
        <w:trPr>
          <w:trHeight w:val="300"/>
        </w:trPr>
        <w:tc>
          <w:tcPr>
            <w:tcW w:w="3029" w:type="dxa"/>
            <w:noWrap/>
            <w:hideMark/>
          </w:tcPr>
          <w:p w14:paraId="09000EFE" w14:textId="77777777" w:rsidR="004B392F" w:rsidRPr="004B392F" w:rsidRDefault="004B392F" w:rsidP="00E519E4">
            <w:pPr>
              <w:spacing w:line="240" w:lineRule="auto"/>
            </w:pPr>
            <w:r w:rsidRPr="004B392F">
              <w:t>Forth Valley</w:t>
            </w:r>
          </w:p>
        </w:tc>
        <w:tc>
          <w:tcPr>
            <w:tcW w:w="884" w:type="dxa"/>
            <w:noWrap/>
            <w:hideMark/>
          </w:tcPr>
          <w:p w14:paraId="624BD627" w14:textId="77777777" w:rsidR="004B392F" w:rsidRPr="004B392F" w:rsidRDefault="004B392F" w:rsidP="00E519E4">
            <w:pPr>
              <w:spacing w:line="240" w:lineRule="auto"/>
            </w:pPr>
            <w:r w:rsidRPr="004B392F">
              <w:t>242</w:t>
            </w:r>
          </w:p>
        </w:tc>
        <w:tc>
          <w:tcPr>
            <w:tcW w:w="724" w:type="dxa"/>
            <w:noWrap/>
            <w:hideMark/>
          </w:tcPr>
          <w:p w14:paraId="126372A2" w14:textId="77777777" w:rsidR="004B392F" w:rsidRPr="004B392F" w:rsidRDefault="004B392F" w:rsidP="00E519E4">
            <w:pPr>
              <w:spacing w:line="240" w:lineRule="auto"/>
            </w:pPr>
            <w:r w:rsidRPr="004B392F">
              <w:t>396</w:t>
            </w:r>
          </w:p>
        </w:tc>
        <w:tc>
          <w:tcPr>
            <w:tcW w:w="724" w:type="dxa"/>
            <w:noWrap/>
            <w:hideMark/>
          </w:tcPr>
          <w:p w14:paraId="0C3169E0" w14:textId="77777777" w:rsidR="004B392F" w:rsidRPr="004B392F" w:rsidRDefault="004B392F" w:rsidP="00E519E4">
            <w:pPr>
              <w:spacing w:line="240" w:lineRule="auto"/>
            </w:pPr>
            <w:r w:rsidRPr="004B392F">
              <w:t>348</w:t>
            </w:r>
          </w:p>
        </w:tc>
        <w:tc>
          <w:tcPr>
            <w:tcW w:w="846" w:type="dxa"/>
            <w:noWrap/>
            <w:hideMark/>
          </w:tcPr>
          <w:p w14:paraId="5EB7729E" w14:textId="77777777" w:rsidR="004B392F" w:rsidRPr="004B392F" w:rsidRDefault="004B392F" w:rsidP="00E519E4">
            <w:pPr>
              <w:spacing w:line="240" w:lineRule="auto"/>
            </w:pPr>
            <w:r w:rsidRPr="004B392F">
              <w:t>404</w:t>
            </w:r>
          </w:p>
        </w:tc>
        <w:tc>
          <w:tcPr>
            <w:tcW w:w="846" w:type="dxa"/>
            <w:noWrap/>
            <w:hideMark/>
          </w:tcPr>
          <w:p w14:paraId="3EB4F2BD" w14:textId="77777777" w:rsidR="004B392F" w:rsidRPr="004B392F" w:rsidRDefault="004B392F" w:rsidP="00E519E4">
            <w:pPr>
              <w:spacing w:line="240" w:lineRule="auto"/>
            </w:pPr>
            <w:r w:rsidRPr="004B392F">
              <w:t>509</w:t>
            </w:r>
          </w:p>
        </w:tc>
        <w:tc>
          <w:tcPr>
            <w:tcW w:w="846" w:type="dxa"/>
            <w:noWrap/>
            <w:hideMark/>
          </w:tcPr>
          <w:p w14:paraId="3ED1003F" w14:textId="77777777" w:rsidR="004B392F" w:rsidRPr="004B392F" w:rsidRDefault="004B392F" w:rsidP="00E519E4">
            <w:pPr>
              <w:spacing w:line="240" w:lineRule="auto"/>
            </w:pPr>
            <w:r w:rsidRPr="004B392F">
              <w:t>433</w:t>
            </w:r>
          </w:p>
        </w:tc>
        <w:tc>
          <w:tcPr>
            <w:tcW w:w="724" w:type="dxa"/>
            <w:noWrap/>
            <w:hideMark/>
          </w:tcPr>
          <w:p w14:paraId="73034494" w14:textId="77777777" w:rsidR="004B392F" w:rsidRPr="004B392F" w:rsidRDefault="004B392F" w:rsidP="00E519E4">
            <w:pPr>
              <w:spacing w:line="240" w:lineRule="auto"/>
            </w:pPr>
            <w:r w:rsidRPr="004B392F">
              <w:t>191</w:t>
            </w:r>
          </w:p>
        </w:tc>
        <w:tc>
          <w:tcPr>
            <w:tcW w:w="1116" w:type="dxa"/>
            <w:noWrap/>
            <w:hideMark/>
          </w:tcPr>
          <w:p w14:paraId="5F6ADDD8" w14:textId="77777777" w:rsidR="004B392F" w:rsidRPr="004B392F" w:rsidRDefault="004B392F" w:rsidP="00E519E4">
            <w:pPr>
              <w:spacing w:line="240" w:lineRule="auto"/>
            </w:pPr>
            <w:r w:rsidRPr="004B392F">
              <w:t>2523</w:t>
            </w:r>
          </w:p>
        </w:tc>
      </w:tr>
      <w:tr w:rsidR="00E519E4" w:rsidRPr="004B392F" w14:paraId="056C0BB2" w14:textId="77777777" w:rsidTr="00E519E4">
        <w:trPr>
          <w:trHeight w:val="300"/>
        </w:trPr>
        <w:tc>
          <w:tcPr>
            <w:tcW w:w="3029" w:type="dxa"/>
            <w:noWrap/>
            <w:hideMark/>
          </w:tcPr>
          <w:p w14:paraId="687B509B" w14:textId="77777777" w:rsidR="004B392F" w:rsidRPr="004B392F" w:rsidRDefault="004B392F" w:rsidP="00E519E4">
            <w:pPr>
              <w:spacing w:line="240" w:lineRule="auto"/>
            </w:pPr>
            <w:r w:rsidRPr="004B392F">
              <w:t>Greater Glasgow</w:t>
            </w:r>
          </w:p>
        </w:tc>
        <w:tc>
          <w:tcPr>
            <w:tcW w:w="884" w:type="dxa"/>
            <w:noWrap/>
            <w:hideMark/>
          </w:tcPr>
          <w:p w14:paraId="5DD02A4A" w14:textId="77777777" w:rsidR="004B392F" w:rsidRPr="004B392F" w:rsidRDefault="004B392F" w:rsidP="00E519E4">
            <w:pPr>
              <w:spacing w:line="240" w:lineRule="auto"/>
            </w:pPr>
            <w:r w:rsidRPr="004B392F">
              <w:t>854</w:t>
            </w:r>
          </w:p>
        </w:tc>
        <w:tc>
          <w:tcPr>
            <w:tcW w:w="724" w:type="dxa"/>
            <w:noWrap/>
            <w:hideMark/>
          </w:tcPr>
          <w:p w14:paraId="15F34CE0" w14:textId="77777777" w:rsidR="004B392F" w:rsidRPr="004B392F" w:rsidRDefault="004B392F" w:rsidP="00E519E4">
            <w:pPr>
              <w:spacing w:line="240" w:lineRule="auto"/>
            </w:pPr>
            <w:r w:rsidRPr="004B392F">
              <w:t>1347</w:t>
            </w:r>
          </w:p>
        </w:tc>
        <w:tc>
          <w:tcPr>
            <w:tcW w:w="724" w:type="dxa"/>
            <w:noWrap/>
            <w:hideMark/>
          </w:tcPr>
          <w:p w14:paraId="31D8E7BF" w14:textId="77777777" w:rsidR="004B392F" w:rsidRPr="004B392F" w:rsidRDefault="004B392F" w:rsidP="00E519E4">
            <w:pPr>
              <w:spacing w:line="240" w:lineRule="auto"/>
            </w:pPr>
            <w:r w:rsidRPr="004B392F">
              <w:t>1582</w:t>
            </w:r>
          </w:p>
        </w:tc>
        <w:tc>
          <w:tcPr>
            <w:tcW w:w="846" w:type="dxa"/>
            <w:noWrap/>
            <w:hideMark/>
          </w:tcPr>
          <w:p w14:paraId="693F50F8" w14:textId="77777777" w:rsidR="004B392F" w:rsidRPr="004B392F" w:rsidRDefault="004B392F" w:rsidP="00E519E4">
            <w:pPr>
              <w:spacing w:line="240" w:lineRule="auto"/>
            </w:pPr>
            <w:r w:rsidRPr="004B392F">
              <w:t>2145</w:t>
            </w:r>
          </w:p>
        </w:tc>
        <w:tc>
          <w:tcPr>
            <w:tcW w:w="846" w:type="dxa"/>
            <w:noWrap/>
            <w:hideMark/>
          </w:tcPr>
          <w:p w14:paraId="3D1217FB" w14:textId="77777777" w:rsidR="004B392F" w:rsidRPr="004B392F" w:rsidRDefault="004B392F" w:rsidP="00E519E4">
            <w:pPr>
              <w:spacing w:line="240" w:lineRule="auto"/>
            </w:pPr>
            <w:r w:rsidRPr="004B392F">
              <w:t>2647</w:t>
            </w:r>
          </w:p>
        </w:tc>
        <w:tc>
          <w:tcPr>
            <w:tcW w:w="846" w:type="dxa"/>
            <w:noWrap/>
            <w:hideMark/>
          </w:tcPr>
          <w:p w14:paraId="7A2EC282" w14:textId="77777777" w:rsidR="004B392F" w:rsidRPr="004B392F" w:rsidRDefault="004B392F" w:rsidP="00E519E4">
            <w:pPr>
              <w:spacing w:line="240" w:lineRule="auto"/>
            </w:pPr>
            <w:r w:rsidRPr="004B392F">
              <w:t>2376</w:t>
            </w:r>
          </w:p>
        </w:tc>
        <w:tc>
          <w:tcPr>
            <w:tcW w:w="724" w:type="dxa"/>
            <w:noWrap/>
            <w:hideMark/>
          </w:tcPr>
          <w:p w14:paraId="6EE8FC9F" w14:textId="77777777" w:rsidR="004B392F" w:rsidRPr="004B392F" w:rsidRDefault="004B392F" w:rsidP="00E519E4">
            <w:pPr>
              <w:spacing w:line="240" w:lineRule="auto"/>
            </w:pPr>
            <w:r w:rsidRPr="004B392F">
              <w:t>1264</w:t>
            </w:r>
          </w:p>
        </w:tc>
        <w:tc>
          <w:tcPr>
            <w:tcW w:w="1116" w:type="dxa"/>
            <w:noWrap/>
            <w:hideMark/>
          </w:tcPr>
          <w:p w14:paraId="7B30424A" w14:textId="77777777" w:rsidR="004B392F" w:rsidRPr="004B392F" w:rsidRDefault="004B392F" w:rsidP="00E519E4">
            <w:pPr>
              <w:spacing w:line="240" w:lineRule="auto"/>
            </w:pPr>
            <w:r w:rsidRPr="004B392F">
              <w:t>12215</w:t>
            </w:r>
          </w:p>
        </w:tc>
      </w:tr>
      <w:tr w:rsidR="00E519E4" w:rsidRPr="004B392F" w14:paraId="2D49CA43" w14:textId="77777777" w:rsidTr="00E519E4">
        <w:trPr>
          <w:trHeight w:val="300"/>
        </w:trPr>
        <w:tc>
          <w:tcPr>
            <w:tcW w:w="3029" w:type="dxa"/>
            <w:noWrap/>
            <w:hideMark/>
          </w:tcPr>
          <w:p w14:paraId="1D09540E" w14:textId="77777777" w:rsidR="004B392F" w:rsidRPr="004B392F" w:rsidRDefault="004B392F" w:rsidP="00E519E4">
            <w:pPr>
              <w:spacing w:line="240" w:lineRule="auto"/>
            </w:pPr>
            <w:r w:rsidRPr="004B392F">
              <w:t>Highland and Islands</w:t>
            </w:r>
          </w:p>
        </w:tc>
        <w:tc>
          <w:tcPr>
            <w:tcW w:w="884" w:type="dxa"/>
            <w:noWrap/>
            <w:hideMark/>
          </w:tcPr>
          <w:p w14:paraId="09EA4CE5" w14:textId="77777777" w:rsidR="004B392F" w:rsidRPr="004B392F" w:rsidRDefault="004B392F" w:rsidP="00E519E4">
            <w:pPr>
              <w:spacing w:line="240" w:lineRule="auto"/>
            </w:pPr>
            <w:r w:rsidRPr="004B392F">
              <w:t>234</w:t>
            </w:r>
          </w:p>
        </w:tc>
        <w:tc>
          <w:tcPr>
            <w:tcW w:w="724" w:type="dxa"/>
            <w:noWrap/>
            <w:hideMark/>
          </w:tcPr>
          <w:p w14:paraId="7C949C51" w14:textId="77777777" w:rsidR="004B392F" w:rsidRPr="004B392F" w:rsidRDefault="004B392F" w:rsidP="00E519E4">
            <w:pPr>
              <w:spacing w:line="240" w:lineRule="auto"/>
            </w:pPr>
            <w:r w:rsidRPr="004B392F">
              <w:t>308</w:t>
            </w:r>
          </w:p>
        </w:tc>
        <w:tc>
          <w:tcPr>
            <w:tcW w:w="724" w:type="dxa"/>
            <w:noWrap/>
            <w:hideMark/>
          </w:tcPr>
          <w:p w14:paraId="6C3DD94B" w14:textId="77777777" w:rsidR="004B392F" w:rsidRPr="004B392F" w:rsidRDefault="004B392F" w:rsidP="00E519E4">
            <w:pPr>
              <w:spacing w:line="240" w:lineRule="auto"/>
            </w:pPr>
            <w:r w:rsidRPr="004B392F">
              <w:t>378</w:t>
            </w:r>
          </w:p>
        </w:tc>
        <w:tc>
          <w:tcPr>
            <w:tcW w:w="846" w:type="dxa"/>
            <w:noWrap/>
            <w:hideMark/>
          </w:tcPr>
          <w:p w14:paraId="1BC5F47B" w14:textId="77777777" w:rsidR="004B392F" w:rsidRPr="004B392F" w:rsidRDefault="004B392F" w:rsidP="00E519E4">
            <w:pPr>
              <w:spacing w:line="240" w:lineRule="auto"/>
            </w:pPr>
            <w:r w:rsidRPr="004B392F">
              <w:t>585</w:t>
            </w:r>
          </w:p>
        </w:tc>
        <w:tc>
          <w:tcPr>
            <w:tcW w:w="846" w:type="dxa"/>
            <w:noWrap/>
            <w:hideMark/>
          </w:tcPr>
          <w:p w14:paraId="1440CB42" w14:textId="77777777" w:rsidR="004B392F" w:rsidRPr="004B392F" w:rsidRDefault="004B392F" w:rsidP="00E519E4">
            <w:pPr>
              <w:spacing w:line="240" w:lineRule="auto"/>
            </w:pPr>
            <w:r w:rsidRPr="004B392F">
              <w:t>582</w:t>
            </w:r>
          </w:p>
        </w:tc>
        <w:tc>
          <w:tcPr>
            <w:tcW w:w="846" w:type="dxa"/>
            <w:noWrap/>
            <w:hideMark/>
          </w:tcPr>
          <w:p w14:paraId="14C25BC6" w14:textId="77777777" w:rsidR="004B392F" w:rsidRPr="004B392F" w:rsidRDefault="004B392F" w:rsidP="00E519E4">
            <w:pPr>
              <w:spacing w:line="240" w:lineRule="auto"/>
            </w:pPr>
            <w:r w:rsidRPr="004B392F">
              <w:t>586</w:t>
            </w:r>
          </w:p>
        </w:tc>
        <w:tc>
          <w:tcPr>
            <w:tcW w:w="724" w:type="dxa"/>
            <w:noWrap/>
            <w:hideMark/>
          </w:tcPr>
          <w:p w14:paraId="7F4788A0" w14:textId="77777777" w:rsidR="004B392F" w:rsidRPr="004B392F" w:rsidRDefault="004B392F" w:rsidP="00E519E4">
            <w:pPr>
              <w:spacing w:line="240" w:lineRule="auto"/>
            </w:pPr>
            <w:r w:rsidRPr="004B392F">
              <w:t>285</w:t>
            </w:r>
          </w:p>
        </w:tc>
        <w:tc>
          <w:tcPr>
            <w:tcW w:w="1116" w:type="dxa"/>
            <w:noWrap/>
            <w:hideMark/>
          </w:tcPr>
          <w:p w14:paraId="76517030" w14:textId="77777777" w:rsidR="004B392F" w:rsidRPr="004B392F" w:rsidRDefault="004B392F" w:rsidP="00E519E4">
            <w:pPr>
              <w:spacing w:line="240" w:lineRule="auto"/>
            </w:pPr>
            <w:r w:rsidRPr="004B392F">
              <w:t>2958</w:t>
            </w:r>
          </w:p>
        </w:tc>
      </w:tr>
      <w:tr w:rsidR="00E519E4" w:rsidRPr="004B392F" w14:paraId="3DA94515" w14:textId="77777777" w:rsidTr="00E519E4">
        <w:trPr>
          <w:trHeight w:val="300"/>
        </w:trPr>
        <w:tc>
          <w:tcPr>
            <w:tcW w:w="3029" w:type="dxa"/>
            <w:noWrap/>
            <w:hideMark/>
          </w:tcPr>
          <w:p w14:paraId="02E14AAE" w14:textId="77777777" w:rsidR="004B392F" w:rsidRPr="004B392F" w:rsidRDefault="004B392F" w:rsidP="00E519E4">
            <w:pPr>
              <w:spacing w:line="240" w:lineRule="auto"/>
            </w:pPr>
            <w:r w:rsidRPr="004B392F">
              <w:t>Lanarkshire</w:t>
            </w:r>
          </w:p>
        </w:tc>
        <w:tc>
          <w:tcPr>
            <w:tcW w:w="884" w:type="dxa"/>
            <w:noWrap/>
            <w:hideMark/>
          </w:tcPr>
          <w:p w14:paraId="17FA9CA0" w14:textId="77777777" w:rsidR="004B392F" w:rsidRPr="004B392F" w:rsidRDefault="004B392F" w:rsidP="00E519E4">
            <w:pPr>
              <w:spacing w:line="240" w:lineRule="auto"/>
            </w:pPr>
            <w:r w:rsidRPr="004B392F">
              <w:t>396</w:t>
            </w:r>
          </w:p>
        </w:tc>
        <w:tc>
          <w:tcPr>
            <w:tcW w:w="724" w:type="dxa"/>
            <w:noWrap/>
            <w:hideMark/>
          </w:tcPr>
          <w:p w14:paraId="04576E70" w14:textId="77777777" w:rsidR="004B392F" w:rsidRPr="004B392F" w:rsidRDefault="004B392F" w:rsidP="00E519E4">
            <w:pPr>
              <w:spacing w:line="240" w:lineRule="auto"/>
            </w:pPr>
            <w:r w:rsidRPr="004B392F">
              <w:t>536</w:t>
            </w:r>
          </w:p>
        </w:tc>
        <w:tc>
          <w:tcPr>
            <w:tcW w:w="724" w:type="dxa"/>
            <w:noWrap/>
            <w:hideMark/>
          </w:tcPr>
          <w:p w14:paraId="29346DAB" w14:textId="77777777" w:rsidR="004B392F" w:rsidRPr="004B392F" w:rsidRDefault="004B392F" w:rsidP="00E519E4">
            <w:pPr>
              <w:spacing w:line="240" w:lineRule="auto"/>
            </w:pPr>
            <w:r w:rsidRPr="004B392F">
              <w:t>781</w:t>
            </w:r>
          </w:p>
        </w:tc>
        <w:tc>
          <w:tcPr>
            <w:tcW w:w="846" w:type="dxa"/>
            <w:noWrap/>
            <w:hideMark/>
          </w:tcPr>
          <w:p w14:paraId="5B600EB0" w14:textId="77777777" w:rsidR="004B392F" w:rsidRPr="004B392F" w:rsidRDefault="004B392F" w:rsidP="00E519E4">
            <w:pPr>
              <w:spacing w:line="240" w:lineRule="auto"/>
            </w:pPr>
            <w:r w:rsidRPr="004B392F">
              <w:t>909</w:t>
            </w:r>
          </w:p>
        </w:tc>
        <w:tc>
          <w:tcPr>
            <w:tcW w:w="846" w:type="dxa"/>
            <w:noWrap/>
            <w:hideMark/>
          </w:tcPr>
          <w:p w14:paraId="0F20606A" w14:textId="77777777" w:rsidR="004B392F" w:rsidRPr="004B392F" w:rsidRDefault="004B392F" w:rsidP="00E519E4">
            <w:pPr>
              <w:spacing w:line="240" w:lineRule="auto"/>
            </w:pPr>
            <w:r w:rsidRPr="004B392F">
              <w:t>1150</w:t>
            </w:r>
          </w:p>
        </w:tc>
        <w:tc>
          <w:tcPr>
            <w:tcW w:w="846" w:type="dxa"/>
            <w:noWrap/>
            <w:hideMark/>
          </w:tcPr>
          <w:p w14:paraId="681F7A41" w14:textId="77777777" w:rsidR="004B392F" w:rsidRPr="004B392F" w:rsidRDefault="004B392F" w:rsidP="00E519E4">
            <w:pPr>
              <w:spacing w:line="240" w:lineRule="auto"/>
            </w:pPr>
            <w:r w:rsidRPr="004B392F">
              <w:t>1210</w:t>
            </w:r>
          </w:p>
        </w:tc>
        <w:tc>
          <w:tcPr>
            <w:tcW w:w="724" w:type="dxa"/>
            <w:noWrap/>
            <w:hideMark/>
          </w:tcPr>
          <w:p w14:paraId="1AA1EEDA" w14:textId="77777777" w:rsidR="004B392F" w:rsidRPr="004B392F" w:rsidRDefault="004B392F" w:rsidP="00E519E4">
            <w:pPr>
              <w:spacing w:line="240" w:lineRule="auto"/>
            </w:pPr>
            <w:r w:rsidRPr="004B392F">
              <w:t>697</w:t>
            </w:r>
          </w:p>
        </w:tc>
        <w:tc>
          <w:tcPr>
            <w:tcW w:w="1116" w:type="dxa"/>
            <w:noWrap/>
            <w:hideMark/>
          </w:tcPr>
          <w:p w14:paraId="5154CF80" w14:textId="77777777" w:rsidR="004B392F" w:rsidRPr="004B392F" w:rsidRDefault="004B392F" w:rsidP="00E519E4">
            <w:pPr>
              <w:spacing w:line="240" w:lineRule="auto"/>
            </w:pPr>
            <w:r w:rsidRPr="004B392F">
              <w:t>5679</w:t>
            </w:r>
          </w:p>
        </w:tc>
      </w:tr>
      <w:tr w:rsidR="00E519E4" w:rsidRPr="004B392F" w14:paraId="1F1B6952" w14:textId="77777777" w:rsidTr="00E519E4">
        <w:trPr>
          <w:trHeight w:val="300"/>
        </w:trPr>
        <w:tc>
          <w:tcPr>
            <w:tcW w:w="3029" w:type="dxa"/>
            <w:noWrap/>
            <w:hideMark/>
          </w:tcPr>
          <w:p w14:paraId="21CBF978" w14:textId="77777777" w:rsidR="004B392F" w:rsidRPr="004B392F" w:rsidRDefault="004B392F" w:rsidP="00E519E4">
            <w:pPr>
              <w:spacing w:line="240" w:lineRule="auto"/>
            </w:pPr>
            <w:r w:rsidRPr="004B392F">
              <w:t>North East</w:t>
            </w:r>
          </w:p>
        </w:tc>
        <w:tc>
          <w:tcPr>
            <w:tcW w:w="884" w:type="dxa"/>
            <w:noWrap/>
            <w:hideMark/>
          </w:tcPr>
          <w:p w14:paraId="292E24F8" w14:textId="77777777" w:rsidR="004B392F" w:rsidRPr="004B392F" w:rsidRDefault="004B392F" w:rsidP="00E519E4">
            <w:pPr>
              <w:spacing w:line="240" w:lineRule="auto"/>
            </w:pPr>
            <w:r w:rsidRPr="004B392F">
              <w:t>488</w:t>
            </w:r>
          </w:p>
        </w:tc>
        <w:tc>
          <w:tcPr>
            <w:tcW w:w="724" w:type="dxa"/>
            <w:noWrap/>
            <w:hideMark/>
          </w:tcPr>
          <w:p w14:paraId="6A4D16A8" w14:textId="77777777" w:rsidR="004B392F" w:rsidRPr="004B392F" w:rsidRDefault="004B392F" w:rsidP="00E519E4">
            <w:pPr>
              <w:spacing w:line="240" w:lineRule="auto"/>
            </w:pPr>
            <w:r w:rsidRPr="004B392F">
              <w:t>564</w:t>
            </w:r>
          </w:p>
        </w:tc>
        <w:tc>
          <w:tcPr>
            <w:tcW w:w="724" w:type="dxa"/>
            <w:noWrap/>
            <w:hideMark/>
          </w:tcPr>
          <w:p w14:paraId="2A6B1FB2" w14:textId="77777777" w:rsidR="004B392F" w:rsidRPr="004B392F" w:rsidRDefault="004B392F" w:rsidP="00E519E4">
            <w:pPr>
              <w:spacing w:line="240" w:lineRule="auto"/>
            </w:pPr>
            <w:r w:rsidRPr="004B392F">
              <w:t>643</w:t>
            </w:r>
          </w:p>
        </w:tc>
        <w:tc>
          <w:tcPr>
            <w:tcW w:w="846" w:type="dxa"/>
            <w:noWrap/>
            <w:hideMark/>
          </w:tcPr>
          <w:p w14:paraId="6AABC262" w14:textId="77777777" w:rsidR="004B392F" w:rsidRPr="004B392F" w:rsidRDefault="004B392F" w:rsidP="00E519E4">
            <w:pPr>
              <w:spacing w:line="240" w:lineRule="auto"/>
            </w:pPr>
            <w:r w:rsidRPr="004B392F">
              <w:t>930</w:t>
            </w:r>
          </w:p>
        </w:tc>
        <w:tc>
          <w:tcPr>
            <w:tcW w:w="846" w:type="dxa"/>
            <w:noWrap/>
            <w:hideMark/>
          </w:tcPr>
          <w:p w14:paraId="5A4D17D2" w14:textId="77777777" w:rsidR="004B392F" w:rsidRPr="004B392F" w:rsidRDefault="004B392F" w:rsidP="00E519E4">
            <w:pPr>
              <w:spacing w:line="240" w:lineRule="auto"/>
            </w:pPr>
            <w:r w:rsidRPr="004B392F">
              <w:t>1080</w:t>
            </w:r>
          </w:p>
        </w:tc>
        <w:tc>
          <w:tcPr>
            <w:tcW w:w="846" w:type="dxa"/>
            <w:noWrap/>
            <w:hideMark/>
          </w:tcPr>
          <w:p w14:paraId="5A97B48B" w14:textId="77777777" w:rsidR="004B392F" w:rsidRPr="004B392F" w:rsidRDefault="004B392F" w:rsidP="00E519E4">
            <w:pPr>
              <w:spacing w:line="240" w:lineRule="auto"/>
            </w:pPr>
            <w:r w:rsidRPr="004B392F">
              <w:t>1070</w:t>
            </w:r>
          </w:p>
        </w:tc>
        <w:tc>
          <w:tcPr>
            <w:tcW w:w="724" w:type="dxa"/>
            <w:noWrap/>
            <w:hideMark/>
          </w:tcPr>
          <w:p w14:paraId="08F62FDC" w14:textId="77777777" w:rsidR="004B392F" w:rsidRPr="004B392F" w:rsidRDefault="004B392F" w:rsidP="00E519E4">
            <w:pPr>
              <w:spacing w:line="240" w:lineRule="auto"/>
            </w:pPr>
            <w:r w:rsidRPr="004B392F">
              <w:t>691</w:t>
            </w:r>
          </w:p>
        </w:tc>
        <w:tc>
          <w:tcPr>
            <w:tcW w:w="1116" w:type="dxa"/>
            <w:noWrap/>
            <w:hideMark/>
          </w:tcPr>
          <w:p w14:paraId="6796CBF5" w14:textId="77777777" w:rsidR="004B392F" w:rsidRPr="004B392F" w:rsidRDefault="004B392F" w:rsidP="00E519E4">
            <w:pPr>
              <w:spacing w:line="240" w:lineRule="auto"/>
            </w:pPr>
            <w:r w:rsidRPr="004B392F">
              <w:t>5466</w:t>
            </w:r>
          </w:p>
        </w:tc>
      </w:tr>
      <w:tr w:rsidR="00E519E4" w:rsidRPr="004B392F" w14:paraId="2F5686E8" w14:textId="77777777" w:rsidTr="00E519E4">
        <w:trPr>
          <w:trHeight w:val="300"/>
        </w:trPr>
        <w:tc>
          <w:tcPr>
            <w:tcW w:w="3029" w:type="dxa"/>
            <w:noWrap/>
            <w:hideMark/>
          </w:tcPr>
          <w:p w14:paraId="79A4372B" w14:textId="77777777" w:rsidR="004B392F" w:rsidRPr="004B392F" w:rsidRDefault="004B392F" w:rsidP="00E519E4">
            <w:pPr>
              <w:spacing w:line="240" w:lineRule="auto"/>
            </w:pPr>
            <w:r w:rsidRPr="004B392F">
              <w:t>Renfrewshire and Inverclyde</w:t>
            </w:r>
          </w:p>
        </w:tc>
        <w:tc>
          <w:tcPr>
            <w:tcW w:w="884" w:type="dxa"/>
            <w:noWrap/>
            <w:hideMark/>
          </w:tcPr>
          <w:p w14:paraId="2BE5584B" w14:textId="77777777" w:rsidR="004B392F" w:rsidRPr="004B392F" w:rsidRDefault="004B392F" w:rsidP="00E519E4">
            <w:pPr>
              <w:spacing w:line="240" w:lineRule="auto"/>
            </w:pPr>
            <w:r w:rsidRPr="004B392F">
              <w:t>199</w:t>
            </w:r>
          </w:p>
        </w:tc>
        <w:tc>
          <w:tcPr>
            <w:tcW w:w="724" w:type="dxa"/>
            <w:noWrap/>
            <w:hideMark/>
          </w:tcPr>
          <w:p w14:paraId="18790FD6" w14:textId="77777777" w:rsidR="004B392F" w:rsidRPr="004B392F" w:rsidRDefault="004B392F" w:rsidP="00E519E4">
            <w:pPr>
              <w:spacing w:line="240" w:lineRule="auto"/>
            </w:pPr>
            <w:r w:rsidRPr="004B392F">
              <w:t>353</w:t>
            </w:r>
          </w:p>
        </w:tc>
        <w:tc>
          <w:tcPr>
            <w:tcW w:w="724" w:type="dxa"/>
            <w:noWrap/>
            <w:hideMark/>
          </w:tcPr>
          <w:p w14:paraId="77614F5E" w14:textId="77777777" w:rsidR="004B392F" w:rsidRPr="004B392F" w:rsidRDefault="004B392F" w:rsidP="00E519E4">
            <w:pPr>
              <w:spacing w:line="240" w:lineRule="auto"/>
            </w:pPr>
            <w:r w:rsidRPr="004B392F">
              <w:t>492</w:t>
            </w:r>
          </w:p>
        </w:tc>
        <w:tc>
          <w:tcPr>
            <w:tcW w:w="846" w:type="dxa"/>
            <w:noWrap/>
            <w:hideMark/>
          </w:tcPr>
          <w:p w14:paraId="6B2EC60D" w14:textId="77777777" w:rsidR="004B392F" w:rsidRPr="004B392F" w:rsidRDefault="004B392F" w:rsidP="00E519E4">
            <w:pPr>
              <w:spacing w:line="240" w:lineRule="auto"/>
            </w:pPr>
            <w:r w:rsidRPr="004B392F">
              <w:t>670</w:t>
            </w:r>
          </w:p>
        </w:tc>
        <w:tc>
          <w:tcPr>
            <w:tcW w:w="846" w:type="dxa"/>
            <w:noWrap/>
            <w:hideMark/>
          </w:tcPr>
          <w:p w14:paraId="7C70D921" w14:textId="77777777" w:rsidR="004B392F" w:rsidRPr="004B392F" w:rsidRDefault="004B392F" w:rsidP="00E519E4">
            <w:pPr>
              <w:spacing w:line="240" w:lineRule="auto"/>
            </w:pPr>
            <w:r w:rsidRPr="004B392F">
              <w:t>604</w:t>
            </w:r>
          </w:p>
        </w:tc>
        <w:tc>
          <w:tcPr>
            <w:tcW w:w="846" w:type="dxa"/>
            <w:noWrap/>
            <w:hideMark/>
          </w:tcPr>
          <w:p w14:paraId="1046C34C" w14:textId="77777777" w:rsidR="004B392F" w:rsidRPr="004B392F" w:rsidRDefault="004B392F" w:rsidP="00E519E4">
            <w:pPr>
              <w:spacing w:line="240" w:lineRule="auto"/>
            </w:pPr>
            <w:r w:rsidRPr="004B392F">
              <w:t>645</w:t>
            </w:r>
          </w:p>
        </w:tc>
        <w:tc>
          <w:tcPr>
            <w:tcW w:w="724" w:type="dxa"/>
            <w:noWrap/>
            <w:hideMark/>
          </w:tcPr>
          <w:p w14:paraId="05BEFB47" w14:textId="77777777" w:rsidR="004B392F" w:rsidRPr="004B392F" w:rsidRDefault="004B392F" w:rsidP="00E519E4">
            <w:pPr>
              <w:spacing w:line="240" w:lineRule="auto"/>
            </w:pPr>
            <w:r w:rsidRPr="004B392F">
              <w:t>349</w:t>
            </w:r>
          </w:p>
        </w:tc>
        <w:tc>
          <w:tcPr>
            <w:tcW w:w="1116" w:type="dxa"/>
            <w:noWrap/>
            <w:hideMark/>
          </w:tcPr>
          <w:p w14:paraId="0ABA7CE8" w14:textId="77777777" w:rsidR="004B392F" w:rsidRPr="004B392F" w:rsidRDefault="004B392F" w:rsidP="00E519E4">
            <w:pPr>
              <w:spacing w:line="240" w:lineRule="auto"/>
            </w:pPr>
            <w:r w:rsidRPr="004B392F">
              <w:t>3312</w:t>
            </w:r>
          </w:p>
        </w:tc>
      </w:tr>
      <w:tr w:rsidR="00E519E4" w:rsidRPr="004B392F" w14:paraId="3DCD15AA" w14:textId="77777777" w:rsidTr="00E519E4">
        <w:trPr>
          <w:trHeight w:val="300"/>
        </w:trPr>
        <w:tc>
          <w:tcPr>
            <w:tcW w:w="3029" w:type="dxa"/>
            <w:noWrap/>
            <w:hideMark/>
          </w:tcPr>
          <w:p w14:paraId="258235B8" w14:textId="77777777" w:rsidR="004B392F" w:rsidRPr="004B392F" w:rsidRDefault="004B392F" w:rsidP="00E519E4">
            <w:pPr>
              <w:spacing w:line="240" w:lineRule="auto"/>
            </w:pPr>
            <w:r w:rsidRPr="004B392F">
              <w:t>Tayside</w:t>
            </w:r>
          </w:p>
        </w:tc>
        <w:tc>
          <w:tcPr>
            <w:tcW w:w="884" w:type="dxa"/>
            <w:noWrap/>
            <w:hideMark/>
          </w:tcPr>
          <w:p w14:paraId="0F53999B" w14:textId="77777777" w:rsidR="004B392F" w:rsidRPr="004B392F" w:rsidRDefault="004B392F" w:rsidP="00E519E4">
            <w:pPr>
              <w:spacing w:line="240" w:lineRule="auto"/>
            </w:pPr>
            <w:r w:rsidRPr="004B392F">
              <w:t>443</w:t>
            </w:r>
          </w:p>
        </w:tc>
        <w:tc>
          <w:tcPr>
            <w:tcW w:w="724" w:type="dxa"/>
            <w:noWrap/>
            <w:hideMark/>
          </w:tcPr>
          <w:p w14:paraId="153886E9" w14:textId="77777777" w:rsidR="004B392F" w:rsidRPr="004B392F" w:rsidRDefault="004B392F" w:rsidP="00E519E4">
            <w:pPr>
              <w:spacing w:line="240" w:lineRule="auto"/>
            </w:pPr>
            <w:r w:rsidRPr="004B392F">
              <w:t>630</w:t>
            </w:r>
          </w:p>
        </w:tc>
        <w:tc>
          <w:tcPr>
            <w:tcW w:w="724" w:type="dxa"/>
            <w:noWrap/>
            <w:hideMark/>
          </w:tcPr>
          <w:p w14:paraId="349C4394" w14:textId="77777777" w:rsidR="004B392F" w:rsidRPr="004B392F" w:rsidRDefault="004B392F" w:rsidP="00E519E4">
            <w:pPr>
              <w:spacing w:line="240" w:lineRule="auto"/>
            </w:pPr>
            <w:r w:rsidRPr="004B392F">
              <w:t>854</w:t>
            </w:r>
          </w:p>
        </w:tc>
        <w:tc>
          <w:tcPr>
            <w:tcW w:w="846" w:type="dxa"/>
            <w:noWrap/>
            <w:hideMark/>
          </w:tcPr>
          <w:p w14:paraId="69D961AD" w14:textId="77777777" w:rsidR="004B392F" w:rsidRPr="004B392F" w:rsidRDefault="004B392F" w:rsidP="00E519E4">
            <w:pPr>
              <w:spacing w:line="240" w:lineRule="auto"/>
            </w:pPr>
            <w:r w:rsidRPr="004B392F">
              <w:t>869</w:t>
            </w:r>
          </w:p>
        </w:tc>
        <w:tc>
          <w:tcPr>
            <w:tcW w:w="846" w:type="dxa"/>
            <w:noWrap/>
            <w:hideMark/>
          </w:tcPr>
          <w:p w14:paraId="53850CAD" w14:textId="77777777" w:rsidR="004B392F" w:rsidRPr="004B392F" w:rsidRDefault="004B392F" w:rsidP="00E519E4">
            <w:pPr>
              <w:spacing w:line="240" w:lineRule="auto"/>
            </w:pPr>
            <w:r w:rsidRPr="004B392F">
              <w:t>752</w:t>
            </w:r>
          </w:p>
        </w:tc>
        <w:tc>
          <w:tcPr>
            <w:tcW w:w="846" w:type="dxa"/>
            <w:noWrap/>
            <w:hideMark/>
          </w:tcPr>
          <w:p w14:paraId="32443917" w14:textId="77777777" w:rsidR="004B392F" w:rsidRPr="004B392F" w:rsidRDefault="004B392F" w:rsidP="00E519E4">
            <w:pPr>
              <w:spacing w:line="240" w:lineRule="auto"/>
            </w:pPr>
            <w:r w:rsidRPr="004B392F">
              <w:t>835</w:t>
            </w:r>
          </w:p>
        </w:tc>
        <w:tc>
          <w:tcPr>
            <w:tcW w:w="724" w:type="dxa"/>
            <w:noWrap/>
            <w:hideMark/>
          </w:tcPr>
          <w:p w14:paraId="7E4F04F0" w14:textId="77777777" w:rsidR="004B392F" w:rsidRPr="004B392F" w:rsidRDefault="004B392F" w:rsidP="00E519E4">
            <w:pPr>
              <w:spacing w:line="240" w:lineRule="auto"/>
            </w:pPr>
            <w:r w:rsidRPr="004B392F">
              <w:t>616</w:t>
            </w:r>
          </w:p>
        </w:tc>
        <w:tc>
          <w:tcPr>
            <w:tcW w:w="1116" w:type="dxa"/>
            <w:noWrap/>
            <w:hideMark/>
          </w:tcPr>
          <w:p w14:paraId="387D665F" w14:textId="77777777" w:rsidR="004B392F" w:rsidRPr="004B392F" w:rsidRDefault="004B392F" w:rsidP="00E519E4">
            <w:pPr>
              <w:spacing w:line="240" w:lineRule="auto"/>
            </w:pPr>
            <w:r w:rsidRPr="004B392F">
              <w:t>4999</w:t>
            </w:r>
          </w:p>
        </w:tc>
      </w:tr>
      <w:tr w:rsidR="00E519E4" w:rsidRPr="004B392F" w14:paraId="22782979" w14:textId="77777777" w:rsidTr="00E519E4">
        <w:trPr>
          <w:trHeight w:val="300"/>
        </w:trPr>
        <w:tc>
          <w:tcPr>
            <w:tcW w:w="3029" w:type="dxa"/>
            <w:noWrap/>
            <w:hideMark/>
          </w:tcPr>
          <w:p w14:paraId="7FC4FBB6" w14:textId="77777777" w:rsidR="004B392F" w:rsidRPr="004B392F" w:rsidRDefault="004B392F" w:rsidP="00E519E4">
            <w:pPr>
              <w:spacing w:line="240" w:lineRule="auto"/>
            </w:pPr>
            <w:r w:rsidRPr="004B392F">
              <w:t>The Lothians and Scottish Borders</w:t>
            </w:r>
          </w:p>
        </w:tc>
        <w:tc>
          <w:tcPr>
            <w:tcW w:w="884" w:type="dxa"/>
            <w:noWrap/>
            <w:hideMark/>
          </w:tcPr>
          <w:p w14:paraId="42F976F8" w14:textId="77777777" w:rsidR="004B392F" w:rsidRPr="004B392F" w:rsidRDefault="004B392F" w:rsidP="00E519E4">
            <w:pPr>
              <w:spacing w:line="240" w:lineRule="auto"/>
            </w:pPr>
            <w:r w:rsidRPr="004B392F">
              <w:t>365</w:t>
            </w:r>
          </w:p>
        </w:tc>
        <w:tc>
          <w:tcPr>
            <w:tcW w:w="724" w:type="dxa"/>
            <w:noWrap/>
            <w:hideMark/>
          </w:tcPr>
          <w:p w14:paraId="7755D9B0" w14:textId="77777777" w:rsidR="004B392F" w:rsidRPr="004B392F" w:rsidRDefault="004B392F" w:rsidP="00E519E4">
            <w:pPr>
              <w:spacing w:line="240" w:lineRule="auto"/>
            </w:pPr>
            <w:r w:rsidRPr="004B392F">
              <w:t>453</w:t>
            </w:r>
          </w:p>
        </w:tc>
        <w:tc>
          <w:tcPr>
            <w:tcW w:w="724" w:type="dxa"/>
            <w:noWrap/>
            <w:hideMark/>
          </w:tcPr>
          <w:p w14:paraId="338D2DB9" w14:textId="77777777" w:rsidR="004B392F" w:rsidRPr="004B392F" w:rsidRDefault="004B392F" w:rsidP="00E519E4">
            <w:pPr>
              <w:spacing w:line="240" w:lineRule="auto"/>
            </w:pPr>
            <w:r w:rsidRPr="004B392F">
              <w:t>658</w:t>
            </w:r>
          </w:p>
        </w:tc>
        <w:tc>
          <w:tcPr>
            <w:tcW w:w="846" w:type="dxa"/>
            <w:noWrap/>
            <w:hideMark/>
          </w:tcPr>
          <w:p w14:paraId="4A1FE48E" w14:textId="77777777" w:rsidR="004B392F" w:rsidRPr="004B392F" w:rsidRDefault="004B392F" w:rsidP="00E519E4">
            <w:pPr>
              <w:spacing w:line="240" w:lineRule="auto"/>
            </w:pPr>
            <w:r w:rsidRPr="004B392F">
              <w:t>826</w:t>
            </w:r>
          </w:p>
        </w:tc>
        <w:tc>
          <w:tcPr>
            <w:tcW w:w="846" w:type="dxa"/>
            <w:noWrap/>
            <w:hideMark/>
          </w:tcPr>
          <w:p w14:paraId="448FE6F7" w14:textId="77777777" w:rsidR="004B392F" w:rsidRPr="004B392F" w:rsidRDefault="004B392F" w:rsidP="00E519E4">
            <w:pPr>
              <w:spacing w:line="240" w:lineRule="auto"/>
            </w:pPr>
            <w:r w:rsidRPr="004B392F">
              <w:t>880</w:t>
            </w:r>
          </w:p>
        </w:tc>
        <w:tc>
          <w:tcPr>
            <w:tcW w:w="846" w:type="dxa"/>
            <w:noWrap/>
            <w:hideMark/>
          </w:tcPr>
          <w:p w14:paraId="5F9C613A" w14:textId="77777777" w:rsidR="004B392F" w:rsidRPr="004B392F" w:rsidRDefault="004B392F" w:rsidP="00E519E4">
            <w:pPr>
              <w:spacing w:line="240" w:lineRule="auto"/>
            </w:pPr>
            <w:r w:rsidRPr="004B392F">
              <w:t>915</w:t>
            </w:r>
          </w:p>
        </w:tc>
        <w:tc>
          <w:tcPr>
            <w:tcW w:w="724" w:type="dxa"/>
            <w:noWrap/>
            <w:hideMark/>
          </w:tcPr>
          <w:p w14:paraId="0D4AE390" w14:textId="77777777" w:rsidR="004B392F" w:rsidRPr="004B392F" w:rsidRDefault="004B392F" w:rsidP="00E519E4">
            <w:pPr>
              <w:spacing w:line="240" w:lineRule="auto"/>
            </w:pPr>
            <w:r w:rsidRPr="004B392F">
              <w:t>565</w:t>
            </w:r>
          </w:p>
        </w:tc>
        <w:tc>
          <w:tcPr>
            <w:tcW w:w="1116" w:type="dxa"/>
            <w:noWrap/>
            <w:hideMark/>
          </w:tcPr>
          <w:p w14:paraId="0D08B799" w14:textId="77777777" w:rsidR="004B392F" w:rsidRPr="004B392F" w:rsidRDefault="004B392F" w:rsidP="00E519E4">
            <w:pPr>
              <w:spacing w:line="240" w:lineRule="auto"/>
            </w:pPr>
            <w:r w:rsidRPr="004B392F">
              <w:t>4662</w:t>
            </w:r>
          </w:p>
        </w:tc>
      </w:tr>
      <w:tr w:rsidR="00E519E4" w:rsidRPr="00E519E4" w14:paraId="64BD6C4E" w14:textId="77777777" w:rsidTr="00E519E4">
        <w:trPr>
          <w:trHeight w:val="300"/>
        </w:trPr>
        <w:tc>
          <w:tcPr>
            <w:tcW w:w="3029" w:type="dxa"/>
            <w:noWrap/>
            <w:hideMark/>
          </w:tcPr>
          <w:p w14:paraId="76DBC5F8" w14:textId="6EAF0855" w:rsidR="004B392F" w:rsidRPr="00E519E4" w:rsidRDefault="004B392F" w:rsidP="00E519E4">
            <w:pPr>
              <w:spacing w:line="240" w:lineRule="auto"/>
            </w:pPr>
            <w:r w:rsidRPr="00E519E4">
              <w:t>Total</w:t>
            </w:r>
          </w:p>
        </w:tc>
        <w:tc>
          <w:tcPr>
            <w:tcW w:w="884" w:type="dxa"/>
            <w:noWrap/>
            <w:hideMark/>
          </w:tcPr>
          <w:p w14:paraId="6846B214" w14:textId="77777777" w:rsidR="004B392F" w:rsidRPr="00E519E4" w:rsidRDefault="004B392F" w:rsidP="00E519E4">
            <w:pPr>
              <w:spacing w:line="240" w:lineRule="auto"/>
            </w:pPr>
            <w:r w:rsidRPr="00E519E4">
              <w:t>4588</w:t>
            </w:r>
          </w:p>
        </w:tc>
        <w:tc>
          <w:tcPr>
            <w:tcW w:w="724" w:type="dxa"/>
            <w:noWrap/>
            <w:hideMark/>
          </w:tcPr>
          <w:p w14:paraId="7B2A942F" w14:textId="77777777" w:rsidR="004B392F" w:rsidRPr="00E519E4" w:rsidRDefault="004B392F" w:rsidP="00E519E4">
            <w:pPr>
              <w:spacing w:line="240" w:lineRule="auto"/>
            </w:pPr>
            <w:r w:rsidRPr="00E519E4">
              <w:t>6534</w:t>
            </w:r>
          </w:p>
        </w:tc>
        <w:tc>
          <w:tcPr>
            <w:tcW w:w="724" w:type="dxa"/>
            <w:noWrap/>
            <w:hideMark/>
          </w:tcPr>
          <w:p w14:paraId="2B83D6FF" w14:textId="77777777" w:rsidR="004B392F" w:rsidRPr="00E519E4" w:rsidRDefault="004B392F" w:rsidP="00E519E4">
            <w:pPr>
              <w:spacing w:line="240" w:lineRule="auto"/>
            </w:pPr>
            <w:r w:rsidRPr="00E519E4">
              <w:t>8202</w:t>
            </w:r>
          </w:p>
        </w:tc>
        <w:tc>
          <w:tcPr>
            <w:tcW w:w="846" w:type="dxa"/>
            <w:noWrap/>
            <w:hideMark/>
          </w:tcPr>
          <w:p w14:paraId="7BDBBB4A" w14:textId="77777777" w:rsidR="004B392F" w:rsidRPr="00E519E4" w:rsidRDefault="004B392F" w:rsidP="00E519E4">
            <w:pPr>
              <w:spacing w:line="240" w:lineRule="auto"/>
            </w:pPr>
            <w:r w:rsidRPr="00E519E4">
              <w:t>10100</w:t>
            </w:r>
          </w:p>
        </w:tc>
        <w:tc>
          <w:tcPr>
            <w:tcW w:w="846" w:type="dxa"/>
            <w:noWrap/>
            <w:hideMark/>
          </w:tcPr>
          <w:p w14:paraId="37AD111A" w14:textId="77777777" w:rsidR="004B392F" w:rsidRPr="00E519E4" w:rsidRDefault="004B392F" w:rsidP="00E519E4">
            <w:pPr>
              <w:spacing w:line="240" w:lineRule="auto"/>
            </w:pPr>
            <w:r w:rsidRPr="00E519E4">
              <w:t>11304</w:t>
            </w:r>
          </w:p>
        </w:tc>
        <w:tc>
          <w:tcPr>
            <w:tcW w:w="846" w:type="dxa"/>
            <w:noWrap/>
            <w:hideMark/>
          </w:tcPr>
          <w:p w14:paraId="0575D8CF" w14:textId="77777777" w:rsidR="004B392F" w:rsidRPr="00E519E4" w:rsidRDefault="004B392F" w:rsidP="00E519E4">
            <w:pPr>
              <w:spacing w:line="240" w:lineRule="auto"/>
            </w:pPr>
            <w:r w:rsidRPr="00E519E4">
              <w:t>11144</w:t>
            </w:r>
          </w:p>
        </w:tc>
        <w:tc>
          <w:tcPr>
            <w:tcW w:w="724" w:type="dxa"/>
            <w:noWrap/>
            <w:hideMark/>
          </w:tcPr>
          <w:p w14:paraId="150B1FD2" w14:textId="77777777" w:rsidR="004B392F" w:rsidRPr="00E519E4" w:rsidRDefault="004B392F" w:rsidP="00E519E4">
            <w:pPr>
              <w:spacing w:line="240" w:lineRule="auto"/>
            </w:pPr>
            <w:r w:rsidRPr="00E519E4">
              <w:t>6615</w:t>
            </w:r>
          </w:p>
        </w:tc>
        <w:tc>
          <w:tcPr>
            <w:tcW w:w="1116" w:type="dxa"/>
            <w:noWrap/>
            <w:hideMark/>
          </w:tcPr>
          <w:p w14:paraId="66D06B9E" w14:textId="77777777" w:rsidR="004B392F" w:rsidRPr="00E519E4" w:rsidRDefault="004B392F" w:rsidP="00E519E4">
            <w:pPr>
              <w:spacing w:line="240" w:lineRule="auto"/>
            </w:pPr>
            <w:r w:rsidRPr="00E519E4">
              <w:t>58487</w:t>
            </w:r>
          </w:p>
        </w:tc>
      </w:tr>
    </w:tbl>
    <w:p w14:paraId="5B6FC8A0" w14:textId="77777777" w:rsidR="007D6523" w:rsidRDefault="007D6523" w:rsidP="00D27028"/>
    <w:p w14:paraId="554F319C" w14:textId="1F92BD2A" w:rsidR="00D27028" w:rsidRDefault="00D27028" w:rsidP="00D27028">
      <w:r>
        <w:t xml:space="preserve">All statistics are provisional and should be treated as management information. </w:t>
      </w:r>
      <w:r w:rsidR="004B392F">
        <w:br/>
        <w:t>Data was</w:t>
      </w:r>
      <w:r>
        <w:t xml:space="preserve"> extracted from Police Scotland systems and are correct as at 27/8/2024</w:t>
      </w:r>
      <w:r w:rsidR="004B392F">
        <w:br/>
        <w:t>Data</w:t>
      </w:r>
      <w:r>
        <w:t xml:space="preserve"> was extracted using the incident's raised date and </w:t>
      </w:r>
      <w:r w:rsidR="004B392F">
        <w:t>d</w:t>
      </w:r>
      <w:r>
        <w:t>isposal code PW13 - Mental Health</w:t>
      </w:r>
      <w:r>
        <w:tab/>
      </w:r>
      <w:r w:rsidR="004B392F">
        <w:br/>
      </w:r>
      <w:r w:rsidR="004B392F" w:rsidRPr="004B392F">
        <w:t>"Attended" Incidents are defined by a valid timestamp within the "At Scene" variable.</w:t>
      </w:r>
      <w:r w:rsidR="004B392F" w:rsidRPr="004B392F">
        <w:tab/>
      </w:r>
      <w:r w:rsidR="004B392F">
        <w:br/>
      </w:r>
      <w:r>
        <w:t>Error and transferred incidents have been removed.</w:t>
      </w:r>
      <w:r>
        <w:tab/>
      </w:r>
      <w:r>
        <w:tab/>
      </w:r>
      <w:r>
        <w:tab/>
      </w:r>
    </w:p>
    <w:p w14:paraId="7C56C009" w14:textId="7D501252" w:rsidR="007D6523" w:rsidRDefault="007D6523" w:rsidP="00D27028">
      <w:pPr>
        <w:pStyle w:val="Heading2"/>
        <w:rPr>
          <w:b w:val="0"/>
          <w:bCs/>
        </w:rPr>
      </w:pPr>
      <w:r w:rsidRPr="007D6523">
        <w:rPr>
          <w:b w:val="0"/>
          <w:bCs/>
        </w:rPr>
        <w:lastRenderedPageBreak/>
        <w:t>Data</w:t>
      </w:r>
      <w:r>
        <w:rPr>
          <w:b w:val="0"/>
          <w:bCs/>
        </w:rPr>
        <w:t xml:space="preserve"> regarding the age of individuals involved in incidents is not routinely recorded in our incident recording systems and there are no specific fields for the capture of such.</w:t>
      </w:r>
    </w:p>
    <w:p w14:paraId="2D1E1367" w14:textId="26BA95E1" w:rsidR="007D6523" w:rsidRDefault="007D6523" w:rsidP="006879B0">
      <w:r>
        <w:t>Notwithstanding,</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the part of your request seeking information about under 18s as all incidents would have to be reviewed for relevance.</w:t>
      </w:r>
    </w:p>
    <w:p w14:paraId="75DB0EE9" w14:textId="77777777" w:rsidR="007D6523" w:rsidRPr="00453F0A" w:rsidRDefault="007D6523" w:rsidP="006879B0">
      <w:r>
        <w:t>I am therefore refusing to provide the information sought in terms of s</w:t>
      </w:r>
      <w:r w:rsidRPr="00453F0A">
        <w:t xml:space="preserve">ection 12(1) </w:t>
      </w:r>
      <w:r>
        <w:t xml:space="preserve">- </w:t>
      </w:r>
      <w:r w:rsidRPr="00453F0A">
        <w:t>Excessive Cost of Compliance.</w:t>
      </w:r>
    </w:p>
    <w:p w14:paraId="7BBE7041" w14:textId="77777777" w:rsidR="007D6523" w:rsidRDefault="007D6523" w:rsidP="00D27028">
      <w:pPr>
        <w:pStyle w:val="Heading2"/>
      </w:pPr>
    </w:p>
    <w:p w14:paraId="7CA44C6D" w14:textId="2712150E" w:rsidR="0098454D" w:rsidRPr="00D27028" w:rsidRDefault="0098454D" w:rsidP="00D27028">
      <w:pPr>
        <w:pStyle w:val="Heading2"/>
      </w:pPr>
      <w:r w:rsidRPr="00D27028">
        <w:t>Additionally, has your force introduced Right Care, Right Person as a policy?</w:t>
      </w:r>
      <w:r w:rsidR="00E519E4">
        <w:br/>
      </w:r>
      <w:r w:rsidRPr="00D27028">
        <w:t>If so, when was it introduced? If not, are any plans for it to be introduced?</w:t>
      </w:r>
    </w:p>
    <w:p w14:paraId="05D389E3" w14:textId="41C98229" w:rsidR="0098454D" w:rsidRDefault="00E519E4" w:rsidP="0098454D">
      <w:bookmarkStart w:id="0" w:name="_Hlk169620214"/>
      <w:r>
        <w:t>The information sought is not held by Police Scotland and section 17 of the Act applies.</w:t>
      </w:r>
    </w:p>
    <w:p w14:paraId="6F52A195" w14:textId="77777777" w:rsidR="0098454D" w:rsidRDefault="0098454D" w:rsidP="0098454D">
      <w:r>
        <w:t>Right Person Right Care (RCRP) is not a policy which Police Scotland have introduced.</w:t>
      </w:r>
    </w:p>
    <w:p w14:paraId="7BBB96DD" w14:textId="2DBC531B" w:rsidR="00E519E4" w:rsidRDefault="0098454D" w:rsidP="0098454D">
      <w:r>
        <w:t xml:space="preserve">Police Scotland take a person-centred approach to mental health. </w:t>
      </w:r>
      <w:r w:rsidR="00E519E4">
        <w:t xml:space="preserve"> </w:t>
      </w:r>
      <w:r>
        <w:t xml:space="preserve">Police Scotland has partnership pathways in place, by which individuals experiencing low level of mental health distress or in mental health crisis, can be signposted towards support.  </w:t>
      </w:r>
    </w:p>
    <w:p w14:paraId="3031D3D8" w14:textId="580610B3" w:rsidR="0098454D" w:rsidRDefault="0098454D" w:rsidP="0098454D">
      <w:r>
        <w:t>These pathways include mental health triage ether by phone or face-to-face, according to the circumstances of each incident and local Distress Briefing Interventions referrals.</w:t>
      </w:r>
    </w:p>
    <w:p w14:paraId="3D73CE9B" w14:textId="0D622883" w:rsidR="0098454D" w:rsidRDefault="0098454D" w:rsidP="0098454D">
      <w:r>
        <w:t xml:space="preserve">Police Scotland also chair the Mental Health Strategic Oversight Board. </w:t>
      </w:r>
      <w:r w:rsidR="00E519E4">
        <w:t xml:space="preserve"> </w:t>
      </w:r>
      <w:r>
        <w:t xml:space="preserve">The purpose of </w:t>
      </w:r>
      <w:r w:rsidR="00E519E4">
        <w:t>which</w:t>
      </w:r>
      <w:r>
        <w:t xml:space="preserve"> is to provide strategic leadership and governance for matters relating to the policing response to incidents involving mental health distress and suicide prevention.</w:t>
      </w:r>
    </w:p>
    <w:p w14:paraId="58ACE8DF" w14:textId="77777777" w:rsidR="00E519E4" w:rsidRDefault="0098454D" w:rsidP="009949F7">
      <w:r>
        <w:t xml:space="preserve">This will enable Police Scotland to work with partners to deliver a compassionate and whole system response, meeting the needs of communities by ensuring the right service is provided by the right provider at the right time. </w:t>
      </w:r>
    </w:p>
    <w:p w14:paraId="5D0EF71C" w14:textId="05D1B22C" w:rsidR="00E90585" w:rsidRDefault="0098454D" w:rsidP="009949F7">
      <w:r>
        <w:t>This will support people, including officers and staff, to manage their personal circumstances and impact positively on levels of crisis and wellbeing of our communities as part of the wider public health approach</w:t>
      </w:r>
      <w:bookmarkEnd w:id="0"/>
      <w:r>
        <w:t>.</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0F939868" w14:textId="77777777" w:rsidR="00E519E4"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41D1CCB3" w:rsidR="007F490F" w:rsidRDefault="00E519E4" w:rsidP="00793DD5">
      <w:r>
        <w:t>Ev</w:t>
      </w:r>
      <w:r w:rsidR="007F490F">
        <w:t>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E2233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C4E6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B4A88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1B0CF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3E866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D2B3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02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3576E"/>
    <w:multiLevelType w:val="hybridMultilevel"/>
    <w:tmpl w:val="E1D8B258"/>
    <w:lvl w:ilvl="0" w:tplc="B418698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6545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16E48"/>
    <w:rsid w:val="00253DF6"/>
    <w:rsid w:val="00255F1E"/>
    <w:rsid w:val="00343FDE"/>
    <w:rsid w:val="0036503B"/>
    <w:rsid w:val="003D6D03"/>
    <w:rsid w:val="003E12CA"/>
    <w:rsid w:val="004010DC"/>
    <w:rsid w:val="004341F0"/>
    <w:rsid w:val="00456324"/>
    <w:rsid w:val="00475460"/>
    <w:rsid w:val="00490317"/>
    <w:rsid w:val="00491644"/>
    <w:rsid w:val="00496A08"/>
    <w:rsid w:val="004B392F"/>
    <w:rsid w:val="004E1605"/>
    <w:rsid w:val="004F653C"/>
    <w:rsid w:val="0052612D"/>
    <w:rsid w:val="00540A52"/>
    <w:rsid w:val="00557306"/>
    <w:rsid w:val="00602590"/>
    <w:rsid w:val="00611CE2"/>
    <w:rsid w:val="00613283"/>
    <w:rsid w:val="00617952"/>
    <w:rsid w:val="00645CFA"/>
    <w:rsid w:val="006D5799"/>
    <w:rsid w:val="00750D83"/>
    <w:rsid w:val="00785DBC"/>
    <w:rsid w:val="00793DD5"/>
    <w:rsid w:val="007D55F6"/>
    <w:rsid w:val="007D6523"/>
    <w:rsid w:val="007F490F"/>
    <w:rsid w:val="007F7E4D"/>
    <w:rsid w:val="0086779C"/>
    <w:rsid w:val="00874BFD"/>
    <w:rsid w:val="008964EF"/>
    <w:rsid w:val="008B6A10"/>
    <w:rsid w:val="00915E01"/>
    <w:rsid w:val="009631A4"/>
    <w:rsid w:val="00976477"/>
    <w:rsid w:val="00977296"/>
    <w:rsid w:val="0098454D"/>
    <w:rsid w:val="009949F7"/>
    <w:rsid w:val="009F12B2"/>
    <w:rsid w:val="00A1065D"/>
    <w:rsid w:val="00A25E93"/>
    <w:rsid w:val="00A320FF"/>
    <w:rsid w:val="00A70AC0"/>
    <w:rsid w:val="00A84EA9"/>
    <w:rsid w:val="00AC443C"/>
    <w:rsid w:val="00B11A55"/>
    <w:rsid w:val="00B17211"/>
    <w:rsid w:val="00B26D05"/>
    <w:rsid w:val="00B461B2"/>
    <w:rsid w:val="00B654B6"/>
    <w:rsid w:val="00B71B3C"/>
    <w:rsid w:val="00BB516E"/>
    <w:rsid w:val="00BC389E"/>
    <w:rsid w:val="00BE1888"/>
    <w:rsid w:val="00BF6B81"/>
    <w:rsid w:val="00C077A8"/>
    <w:rsid w:val="00C14FF4"/>
    <w:rsid w:val="00C54546"/>
    <w:rsid w:val="00C606A2"/>
    <w:rsid w:val="00C63872"/>
    <w:rsid w:val="00C84948"/>
    <w:rsid w:val="00CC3C9D"/>
    <w:rsid w:val="00CF1111"/>
    <w:rsid w:val="00D05706"/>
    <w:rsid w:val="00D27028"/>
    <w:rsid w:val="00D27DC5"/>
    <w:rsid w:val="00D326D8"/>
    <w:rsid w:val="00D340B6"/>
    <w:rsid w:val="00D47E36"/>
    <w:rsid w:val="00DE77E1"/>
    <w:rsid w:val="00E004C1"/>
    <w:rsid w:val="00E44D39"/>
    <w:rsid w:val="00E519E4"/>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5230">
      <w:bodyDiv w:val="1"/>
      <w:marLeft w:val="0"/>
      <w:marRight w:val="0"/>
      <w:marTop w:val="0"/>
      <w:marBottom w:val="0"/>
      <w:divBdr>
        <w:top w:val="none" w:sz="0" w:space="0" w:color="auto"/>
        <w:left w:val="none" w:sz="0" w:space="0" w:color="auto"/>
        <w:bottom w:val="none" w:sz="0" w:space="0" w:color="auto"/>
        <w:right w:val="none" w:sz="0" w:space="0" w:color="auto"/>
      </w:divBdr>
    </w:div>
    <w:div w:id="33621923">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15139785">
      <w:bodyDiv w:val="1"/>
      <w:marLeft w:val="0"/>
      <w:marRight w:val="0"/>
      <w:marTop w:val="0"/>
      <w:marBottom w:val="0"/>
      <w:divBdr>
        <w:top w:val="none" w:sz="0" w:space="0" w:color="auto"/>
        <w:left w:val="none" w:sz="0" w:space="0" w:color="auto"/>
        <w:bottom w:val="none" w:sz="0" w:space="0" w:color="auto"/>
        <w:right w:val="none" w:sz="0" w:space="0" w:color="auto"/>
      </w:divBdr>
    </w:div>
    <w:div w:id="96693449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9264578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796097034">
      <w:bodyDiv w:val="1"/>
      <w:marLeft w:val="0"/>
      <w:marRight w:val="0"/>
      <w:marTop w:val="0"/>
      <w:marBottom w:val="0"/>
      <w:divBdr>
        <w:top w:val="none" w:sz="0" w:space="0" w:color="auto"/>
        <w:left w:val="none" w:sz="0" w:space="0" w:color="auto"/>
        <w:bottom w:val="none" w:sz="0" w:space="0" w:color="auto"/>
        <w:right w:val="none" w:sz="0" w:space="0" w:color="auto"/>
      </w:divBdr>
    </w:div>
    <w:div w:id="192021142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912</Words>
  <Characters>5203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2024-08-21T10:01:00Z</dcterms:created>
  <dcterms:modified xsi:type="dcterms:W3CDTF">2024-08-30T11:40:00Z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