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7ACFD1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752D8">
              <w:t>1462</w:t>
            </w:r>
          </w:p>
          <w:p w14:paraId="34BDABA6" w14:textId="22B399F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752D8">
              <w:t>1</w:t>
            </w:r>
            <w:r w:rsidR="007669A6">
              <w:t>9</w:t>
            </w:r>
            <w:r w:rsidR="000752D8">
              <w:t xml:space="preserve"> July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F0E4397" w14:textId="13589DCA" w:rsidR="00C54E73" w:rsidRDefault="000752D8" w:rsidP="00C54E73">
      <w:pPr>
        <w:pStyle w:val="Heading2"/>
        <w:numPr>
          <w:ilvl w:val="0"/>
          <w:numId w:val="3"/>
        </w:numPr>
      </w:pPr>
      <w:r>
        <w:t>To ask Police Scotland what its position is on whether (a) the Scottish Government and (b) Police Scotland could be liable for any material effect to a Scottish resident's circumstances if it was found that any negligence or malice or informal disclosure on the part of a public servant had led to public knowledge of a recorded non-crime hate incident.</w:t>
      </w:r>
    </w:p>
    <w:p w14:paraId="08904DC5" w14:textId="6CBE6574" w:rsidR="000752D8" w:rsidRDefault="000752D8" w:rsidP="000752D8">
      <w:pPr>
        <w:pStyle w:val="Heading2"/>
        <w:numPr>
          <w:ilvl w:val="0"/>
          <w:numId w:val="3"/>
        </w:numPr>
      </w:pPr>
      <w:bookmarkStart w:id="0" w:name="QuestionText"/>
      <w:r>
        <w:t>To ask Police Scotland what its position is on whether the recording of non-crime hate incidents under the Hate Crime and Public Order (Scotland) Act 2021 could have a i) financial or ii) material effect on an individual's employment or otherwise personal circumstances</w:t>
      </w:r>
      <w:bookmarkEnd w:id="0"/>
      <w:r>
        <w:t>, and to clarify whether this would ever be the case.</w:t>
      </w:r>
    </w:p>
    <w:p w14:paraId="4683B9A8" w14:textId="4B69AC66" w:rsidR="009D2B8E" w:rsidRPr="00635A38" w:rsidRDefault="00A17D6E" w:rsidP="009D2B8E">
      <w:pPr>
        <w:rPr>
          <w:color w:val="FF0000"/>
        </w:rPr>
      </w:pPr>
      <w:r w:rsidRPr="00635A38">
        <w:rPr>
          <w:color w:val="FF0000"/>
        </w:rPr>
        <w:t xml:space="preserve">As you may be aware, the Freedom of Information (Scotland) Act 2002 provides a right of access to recorded information only.  Section 8 of the Act states that </w:t>
      </w:r>
      <w:proofErr w:type="gramStart"/>
      <w:r w:rsidRPr="00635A38">
        <w:rPr>
          <w:color w:val="FF0000"/>
        </w:rPr>
        <w:t>in order for</w:t>
      </w:r>
      <w:proofErr w:type="gramEnd"/>
      <w:r w:rsidRPr="00635A38">
        <w:rPr>
          <w:color w:val="FF0000"/>
        </w:rPr>
        <w:t xml:space="preserve"> a request to be valid, an applicant must describe the information requested - which is not the same as asking for a statement to be created in response to a particular matter.</w:t>
      </w:r>
    </w:p>
    <w:p w14:paraId="2D67DFE2" w14:textId="3906E2A6" w:rsidR="00A17D6E" w:rsidRPr="00635A38" w:rsidRDefault="00A17D6E" w:rsidP="009D2B8E">
      <w:pPr>
        <w:rPr>
          <w:color w:val="FF0000"/>
        </w:rPr>
      </w:pPr>
      <w:r w:rsidRPr="00635A38">
        <w:rPr>
          <w:color w:val="FF0000"/>
        </w:rPr>
        <w:t>We are unable to offer any comment therefore as regards the matters set out above.</w:t>
      </w:r>
    </w:p>
    <w:p w14:paraId="093A3169" w14:textId="548965D1" w:rsidR="00A17D6E" w:rsidRPr="00635A38" w:rsidRDefault="00A17D6E" w:rsidP="009D2B8E">
      <w:pPr>
        <w:rPr>
          <w:color w:val="FF0000"/>
        </w:rPr>
      </w:pPr>
      <w:r w:rsidRPr="00635A38">
        <w:rPr>
          <w:color w:val="FF0000"/>
        </w:rPr>
        <w:t>In terms of any pre-existing recorded information that would set out the Police Scotland ‘position’, such information is not held</w:t>
      </w:r>
      <w:r w:rsidR="00B86246">
        <w:rPr>
          <w:color w:val="FF0000"/>
        </w:rPr>
        <w:t>,</w:t>
      </w:r>
      <w:r w:rsidRPr="00635A38">
        <w:rPr>
          <w:color w:val="FF0000"/>
        </w:rPr>
        <w:t xml:space="preserve"> and section 17 of the Act therefore applies.</w:t>
      </w:r>
    </w:p>
    <w:p w14:paraId="623C5EA0" w14:textId="77777777" w:rsidR="00007E38" w:rsidRPr="009E4E33" w:rsidRDefault="00007E38" w:rsidP="009D2B8E"/>
    <w:p w14:paraId="725CC909" w14:textId="2B5580D7" w:rsidR="000752D8" w:rsidRDefault="000752D8" w:rsidP="002817AF">
      <w:pPr>
        <w:pStyle w:val="Heading2"/>
        <w:numPr>
          <w:ilvl w:val="0"/>
          <w:numId w:val="3"/>
        </w:numPr>
      </w:pPr>
      <w:r>
        <w:t>To ask Police Scotland what formal legal advice it has received in relation to a person being recorded as the perpetrator of an NCHI.</w:t>
      </w:r>
    </w:p>
    <w:p w14:paraId="748943FB" w14:textId="0831FC11" w:rsidR="00030B98" w:rsidRDefault="008F0391" w:rsidP="008F0391">
      <w:r>
        <w:t xml:space="preserve">Your question has been interpreted as a request to identify what external legal advice has been received in relation to a person being recorded as the perpetrator of </w:t>
      </w:r>
      <w:r w:rsidR="00030B98">
        <w:t>a non-crime hate incident.</w:t>
      </w:r>
    </w:p>
    <w:p w14:paraId="4891B783" w14:textId="3C2DF3C0" w:rsidR="008F0391" w:rsidRPr="006402EA" w:rsidRDefault="00030B98" w:rsidP="008F0391">
      <w:r>
        <w:lastRenderedPageBreak/>
        <w:t>In</w:t>
      </w:r>
      <w:r w:rsidR="008F0391" w:rsidRPr="006402EA">
        <w:t xml:space="preserve"> terms of Section 17 of the Act, I can confirm that the information you have requested is not held by Police Scotland.</w:t>
      </w:r>
    </w:p>
    <w:p w14:paraId="2133470E" w14:textId="0E8FEACE" w:rsidR="00030B98" w:rsidRDefault="00030B98" w:rsidP="00030B98">
      <w:r>
        <w:t>Police Scotland have not received any external legal relation to a person being recorded as the perpetrator of an NCHI.</w:t>
      </w:r>
    </w:p>
    <w:p w14:paraId="7721038A" w14:textId="4739A161" w:rsidR="008F0391" w:rsidRPr="008F0391" w:rsidRDefault="008F0391" w:rsidP="008F0391"/>
    <w:p w14:paraId="35D4AEFB" w14:textId="497DE0AD" w:rsidR="000752D8" w:rsidRDefault="000752D8" w:rsidP="00C54E73">
      <w:pPr>
        <w:pStyle w:val="Heading2"/>
        <w:numPr>
          <w:ilvl w:val="0"/>
          <w:numId w:val="3"/>
        </w:numPr>
      </w:pPr>
      <w:r>
        <w:t xml:space="preserve">To ask Police Scotland what reporting requirements it has to the Scottish Government or other publicly funded bodies regarding the rate and nature of non-crime hate incidents. </w:t>
      </w:r>
    </w:p>
    <w:p w14:paraId="58D58D1E" w14:textId="77777777" w:rsidR="006402EA" w:rsidRPr="006402EA" w:rsidRDefault="006402EA" w:rsidP="006402EA">
      <w:bookmarkStart w:id="1" w:name="_Hlk147998659"/>
      <w:r w:rsidRPr="006402EA">
        <w:t>In terms of Section 17 of the Act, I can confirm that the information you have requested is not held by Police Scotland.</w:t>
      </w:r>
    </w:p>
    <w:bookmarkEnd w:id="1"/>
    <w:p w14:paraId="1DEB6A4B" w14:textId="2E559025" w:rsidR="006402EA" w:rsidRDefault="006402EA" w:rsidP="006402EA">
      <w:r>
        <w:t>By way of explanation this information is not shared with the Scottish Government or any other publicly funded body.</w:t>
      </w:r>
    </w:p>
    <w:p w14:paraId="64E39528" w14:textId="77777777" w:rsidR="000803B3" w:rsidRPr="00C54E73" w:rsidRDefault="000803B3" w:rsidP="006402EA"/>
    <w:p w14:paraId="48A29211" w14:textId="79B91FDE" w:rsidR="000752D8" w:rsidRDefault="000752D8" w:rsidP="002817AF">
      <w:pPr>
        <w:pStyle w:val="Heading2"/>
        <w:numPr>
          <w:ilvl w:val="0"/>
          <w:numId w:val="3"/>
        </w:numPr>
        <w:rPr>
          <w:bdr w:val="none" w:sz="0" w:space="0" w:color="auto" w:frame="1"/>
        </w:rPr>
      </w:pPr>
      <w:r w:rsidRPr="000752D8">
        <w:rPr>
          <w:bdr w:val="none" w:sz="0" w:space="0" w:color="auto" w:frame="1"/>
        </w:rPr>
        <w:t xml:space="preserve">a. To ask Police Scotland whether it: </w:t>
      </w:r>
    </w:p>
    <w:p w14:paraId="684EB9F2" w14:textId="4E794D0F" w:rsidR="005D2AE3" w:rsidRDefault="000752D8" w:rsidP="002817AF">
      <w:pPr>
        <w:pStyle w:val="Heading2"/>
        <w:rPr>
          <w:bdr w:val="none" w:sz="0" w:space="0" w:color="auto" w:frame="1"/>
        </w:rPr>
      </w:pPr>
      <w:r w:rsidRPr="000752D8">
        <w:rPr>
          <w:bdr w:val="none" w:sz="0" w:space="0" w:color="auto" w:frame="1"/>
        </w:rPr>
        <w:t xml:space="preserve">(i) requires and </w:t>
      </w:r>
      <w:r>
        <w:rPr>
          <w:bdr w:val="none" w:sz="0" w:space="0" w:color="auto" w:frame="1"/>
        </w:rPr>
        <w:t>(ii) conducts formal security clearances for anyone designated as a "hate crime advisor" or "hate crime champion", as set out in the document</w:t>
      </w:r>
      <w:r>
        <w:rPr>
          <w:i/>
          <w:iCs/>
          <w:bdr w:val="none" w:sz="0" w:space="0" w:color="auto" w:frame="1"/>
        </w:rPr>
        <w:t>, Interim Guidance - Responding to Hate</w:t>
      </w:r>
      <w:r>
        <w:rPr>
          <w:bdr w:val="none" w:sz="0" w:space="0" w:color="auto" w:frame="1"/>
        </w:rPr>
        <w:t>.</w:t>
      </w:r>
    </w:p>
    <w:p w14:paraId="1AB80D69" w14:textId="360C674A" w:rsidR="005D2AE3" w:rsidRPr="005D2AE3" w:rsidRDefault="005D2AE3" w:rsidP="005D2AE3">
      <w:pPr>
        <w:pStyle w:val="Heading2"/>
        <w:rPr>
          <w:b w:val="0"/>
          <w:bCs/>
          <w:color w:val="auto"/>
          <w:bdr w:val="none" w:sz="0" w:space="0" w:color="auto" w:frame="1"/>
        </w:rPr>
      </w:pPr>
      <w:r w:rsidRPr="005D2AE3">
        <w:rPr>
          <w:b w:val="0"/>
          <w:bCs/>
          <w:color w:val="auto"/>
          <w:bdr w:val="none" w:sz="0" w:space="0" w:color="auto" w:frame="1"/>
        </w:rPr>
        <w:t>Hate Crime Advisors and Hate Crime Champions are</w:t>
      </w:r>
      <w:r>
        <w:rPr>
          <w:b w:val="0"/>
          <w:bCs/>
          <w:color w:val="auto"/>
          <w:bdr w:val="none" w:sz="0" w:space="0" w:color="auto" w:frame="1"/>
        </w:rPr>
        <w:t xml:space="preserve"> police officers who have been </w:t>
      </w:r>
      <w:r w:rsidRPr="005D2AE3">
        <w:rPr>
          <w:b w:val="0"/>
          <w:bCs/>
          <w:color w:val="auto"/>
          <w:bdr w:val="none" w:sz="0" w:space="0" w:color="auto" w:frame="1"/>
        </w:rPr>
        <w:t>vetted in accordance with their role.</w:t>
      </w:r>
    </w:p>
    <w:p w14:paraId="799ED491" w14:textId="77777777" w:rsidR="005D2AE3" w:rsidRPr="005D2AE3" w:rsidRDefault="005D2AE3" w:rsidP="005D2AE3"/>
    <w:p w14:paraId="7084A694" w14:textId="6A36511C" w:rsidR="00A10612" w:rsidRDefault="000752D8" w:rsidP="00A10612">
      <w:pPr>
        <w:pStyle w:val="Heading2"/>
      </w:pPr>
      <w:r>
        <w:rPr>
          <w:bdr w:val="none" w:sz="0" w:space="0" w:color="auto" w:frame="1"/>
        </w:rPr>
        <w:t xml:space="preserve">b. The number of such employees. </w:t>
      </w:r>
    </w:p>
    <w:p w14:paraId="331007DB" w14:textId="5243AFDC" w:rsidR="000752D8" w:rsidRDefault="002817AF" w:rsidP="002817AF">
      <w:pPr>
        <w:pStyle w:val="Heading2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(i) </w:t>
      </w:r>
      <w:r w:rsidR="000752D8">
        <w:rPr>
          <w:bdr w:val="none" w:sz="0" w:space="0" w:color="auto" w:frame="1"/>
        </w:rPr>
        <w:t xml:space="preserve">Their employment status – i.e. civil servant, private sector advisor, non-executive director broken down by </w:t>
      </w:r>
      <w:proofErr w:type="gramStart"/>
      <w:r w:rsidR="000752D8">
        <w:rPr>
          <w:bdr w:val="none" w:sz="0" w:space="0" w:color="auto" w:frame="1"/>
        </w:rPr>
        <w:t>category .</w:t>
      </w:r>
      <w:proofErr w:type="gramEnd"/>
      <w:r w:rsidR="000752D8">
        <w:rPr>
          <w:bdr w:val="none" w:sz="0" w:space="0" w:color="auto" w:frame="1"/>
        </w:rPr>
        <w:t xml:space="preserve"> </w:t>
      </w:r>
    </w:p>
    <w:p w14:paraId="00F288A6" w14:textId="77777777" w:rsidR="00635A38" w:rsidRDefault="00A10612" w:rsidP="00A10612">
      <w:pPr>
        <w:rPr>
          <w:lang w:eastAsia="en-GB"/>
        </w:rPr>
      </w:pPr>
      <w:r>
        <w:rPr>
          <w:lang w:eastAsia="en-GB"/>
        </w:rPr>
        <w:t xml:space="preserve">Police Scotland have a cadre of around 80 hate crime advisors and 450 hate crime champions to support colleagues. </w:t>
      </w:r>
    </w:p>
    <w:p w14:paraId="40D29795" w14:textId="518BF2E8" w:rsidR="00A10612" w:rsidRDefault="00A10612" w:rsidP="00A10612">
      <w:pPr>
        <w:rPr>
          <w:lang w:eastAsia="en-GB"/>
        </w:rPr>
      </w:pPr>
      <w:r>
        <w:rPr>
          <w:lang w:eastAsia="en-GB"/>
        </w:rPr>
        <w:t xml:space="preserve">Contact, Command and Control (C3), officers and staff also received tailored training. </w:t>
      </w:r>
    </w:p>
    <w:p w14:paraId="554D5E8B" w14:textId="1ED2A56D" w:rsidR="00A10612" w:rsidRDefault="00A10612" w:rsidP="00A10612">
      <w:pPr>
        <w:rPr>
          <w:lang w:eastAsia="en-GB"/>
        </w:rPr>
      </w:pPr>
      <w:r>
        <w:rPr>
          <w:lang w:eastAsia="en-GB"/>
        </w:rPr>
        <w:t xml:space="preserve">Hate Crime Advisors and Hate Crime Champions are all police officers. </w:t>
      </w:r>
    </w:p>
    <w:p w14:paraId="1430D0E4" w14:textId="77777777" w:rsidR="00A10612" w:rsidRDefault="00A10612" w:rsidP="00A10612">
      <w:pPr>
        <w:ind w:left="1440"/>
        <w:rPr>
          <w:color w:val="FF0000"/>
          <w14:ligatures w14:val="standardContextual"/>
        </w:rPr>
      </w:pPr>
    </w:p>
    <w:p w14:paraId="34B59A00" w14:textId="77777777" w:rsidR="00A10612" w:rsidRDefault="00A10612" w:rsidP="00A10612">
      <w:pPr>
        <w:rPr>
          <w:lang w:eastAsia="en-GB"/>
        </w:rPr>
      </w:pPr>
    </w:p>
    <w:p w14:paraId="670C81C7" w14:textId="664AEF59" w:rsidR="000752D8" w:rsidRDefault="000752D8" w:rsidP="002817AF">
      <w:pPr>
        <w:pStyle w:val="Heading2"/>
        <w:numPr>
          <w:ilvl w:val="0"/>
          <w:numId w:val="3"/>
        </w:numPr>
      </w:pPr>
      <w:r>
        <w:lastRenderedPageBreak/>
        <w:t xml:space="preserve">To ask the Scottish Government, </w:t>
      </w:r>
      <w:proofErr w:type="gramStart"/>
      <w:r>
        <w:t>in light of</w:t>
      </w:r>
      <w:proofErr w:type="gramEnd"/>
      <w:r>
        <w:t xml:space="preserve"> the recently published Police Scotland interim guidance on the recording of non-crime hate incidents (NCHIs), which states that a report would happen in "exceptional circumstances", what are defined as "exceptional circumstances" in which a party allegedly at fault in a reported incident could have their details recorded.</w:t>
      </w:r>
    </w:p>
    <w:p w14:paraId="35140D66" w14:textId="7370FE07" w:rsidR="000752D8" w:rsidRDefault="000752D8" w:rsidP="002817AF">
      <w:pPr>
        <w:pStyle w:val="Heading2"/>
        <w:numPr>
          <w:ilvl w:val="0"/>
          <w:numId w:val="3"/>
        </w:numPr>
      </w:pPr>
      <w:r>
        <w:t xml:space="preserve">To ask what legal tests a police force must “reasonably meet” </w:t>
      </w:r>
      <w:proofErr w:type="gramStart"/>
      <w:r>
        <w:t>in order for</w:t>
      </w:r>
      <w:proofErr w:type="gramEnd"/>
      <w:r>
        <w:t xml:space="preserve"> it to be justified in recording an incident in which it believes an individual may be at fault without being tested in court. </w:t>
      </w:r>
    </w:p>
    <w:p w14:paraId="1127876A" w14:textId="2F74D7E0" w:rsidR="00AC7D61" w:rsidRDefault="00AC7D61" w:rsidP="00AC7D61">
      <w:pPr>
        <w:rPr>
          <w:rStyle w:val="Hyperlink"/>
        </w:rPr>
      </w:pPr>
      <w:r>
        <w:t xml:space="preserve">In response to the two questions above, please see the </w:t>
      </w:r>
      <w:r w:rsidR="007669A6">
        <w:t>link below, Responding to Hate.</w:t>
      </w:r>
      <w:r>
        <w:t xml:space="preserve"> </w:t>
      </w:r>
      <w:hyperlink r:id="rId11" w:history="1">
        <w:r w:rsidR="007669A6">
          <w:rPr>
            <w:rStyle w:val="Hyperlink"/>
          </w:rPr>
          <w:t>Interim guidance - Responding to Hate</w:t>
        </w:r>
      </w:hyperlink>
    </w:p>
    <w:p w14:paraId="11E5592B" w14:textId="43F9191F" w:rsidR="00635A38" w:rsidRPr="00635A38" w:rsidRDefault="00635A38" w:rsidP="00AC7D61">
      <w:pPr>
        <w:rPr>
          <w:color w:val="FF0000"/>
        </w:rPr>
      </w:pPr>
      <w:r w:rsidRPr="00635A38">
        <w:rPr>
          <w:color w:val="FF0000"/>
        </w:rPr>
        <w:t>Beyond that interim guidance, no further detail that would address the points raised is held, and section 17 of the Act therefore applies.</w:t>
      </w:r>
    </w:p>
    <w:p w14:paraId="4BED0D6E" w14:textId="77777777" w:rsidR="007669A6" w:rsidRDefault="007669A6" w:rsidP="00793DD5"/>
    <w:p w14:paraId="34BDABBE" w14:textId="308A7D1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1468D6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0B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26D1E3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0B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D32D4E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0B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78B57D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0B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4CBDEA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0B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B6BF8B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0B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01A36"/>
    <w:multiLevelType w:val="hybridMultilevel"/>
    <w:tmpl w:val="AB1033CE"/>
    <w:lvl w:ilvl="0" w:tplc="DA8E176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165B7F"/>
    <w:multiLevelType w:val="hybridMultilevel"/>
    <w:tmpl w:val="64F6971A"/>
    <w:lvl w:ilvl="0" w:tplc="4BA21AA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7BC443B"/>
    <w:multiLevelType w:val="hybridMultilevel"/>
    <w:tmpl w:val="559CA138"/>
    <w:lvl w:ilvl="0" w:tplc="A08483DE">
      <w:start w:val="1"/>
      <w:numFmt w:val="lowerRoman"/>
      <w:lvlText w:val="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3"/>
  </w:num>
  <w:num w:numId="2" w16cid:durableId="1328680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2467677">
    <w:abstractNumId w:val="0"/>
  </w:num>
  <w:num w:numId="4" w16cid:durableId="1725442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7E38"/>
    <w:rsid w:val="00030B98"/>
    <w:rsid w:val="0007339C"/>
    <w:rsid w:val="000752D8"/>
    <w:rsid w:val="000803B3"/>
    <w:rsid w:val="00090F3B"/>
    <w:rsid w:val="000A1DDD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2817AF"/>
    <w:rsid w:val="00300948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830C8"/>
    <w:rsid w:val="005D2AE3"/>
    <w:rsid w:val="00602590"/>
    <w:rsid w:val="0060412C"/>
    <w:rsid w:val="00613283"/>
    <w:rsid w:val="00635A38"/>
    <w:rsid w:val="006402EA"/>
    <w:rsid w:val="00645CFA"/>
    <w:rsid w:val="006D5799"/>
    <w:rsid w:val="00750D83"/>
    <w:rsid w:val="007669A6"/>
    <w:rsid w:val="00785DBC"/>
    <w:rsid w:val="00793DD5"/>
    <w:rsid w:val="007D55F6"/>
    <w:rsid w:val="007F490F"/>
    <w:rsid w:val="0086779C"/>
    <w:rsid w:val="00874BFD"/>
    <w:rsid w:val="008964EF"/>
    <w:rsid w:val="008F0391"/>
    <w:rsid w:val="00915E01"/>
    <w:rsid w:val="009631A4"/>
    <w:rsid w:val="00977296"/>
    <w:rsid w:val="009949F7"/>
    <w:rsid w:val="009D2B8E"/>
    <w:rsid w:val="00A10612"/>
    <w:rsid w:val="00A1065D"/>
    <w:rsid w:val="00A17D6E"/>
    <w:rsid w:val="00A25E93"/>
    <w:rsid w:val="00A320FF"/>
    <w:rsid w:val="00A70AC0"/>
    <w:rsid w:val="00A84EA9"/>
    <w:rsid w:val="00AC443C"/>
    <w:rsid w:val="00AC7D61"/>
    <w:rsid w:val="00B11A55"/>
    <w:rsid w:val="00B17211"/>
    <w:rsid w:val="00B461B2"/>
    <w:rsid w:val="00B654B6"/>
    <w:rsid w:val="00B71B3C"/>
    <w:rsid w:val="00B86246"/>
    <w:rsid w:val="00BC389E"/>
    <w:rsid w:val="00BE1888"/>
    <w:rsid w:val="00BF6B81"/>
    <w:rsid w:val="00C077A8"/>
    <w:rsid w:val="00C14FF4"/>
    <w:rsid w:val="00C54E73"/>
    <w:rsid w:val="00C606A2"/>
    <w:rsid w:val="00C63872"/>
    <w:rsid w:val="00C84948"/>
    <w:rsid w:val="00CC3C9D"/>
    <w:rsid w:val="00CE0C02"/>
    <w:rsid w:val="00CF1111"/>
    <w:rsid w:val="00D05706"/>
    <w:rsid w:val="00D27DC5"/>
    <w:rsid w:val="00D340B6"/>
    <w:rsid w:val="00D47E36"/>
    <w:rsid w:val="00D606CB"/>
    <w:rsid w:val="00DD3B26"/>
    <w:rsid w:val="00E004C1"/>
    <w:rsid w:val="00E55D79"/>
    <w:rsid w:val="00E62221"/>
    <w:rsid w:val="00E90585"/>
    <w:rsid w:val="00E92318"/>
    <w:rsid w:val="00EE2373"/>
    <w:rsid w:val="00EF37F8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7669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what-s-happening/news/2024/may/interim-guidance-responding-to-hate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Sturrock, Claire</cp:lastModifiedBy>
  <cp:revision>16</cp:revision>
  <dcterms:created xsi:type="dcterms:W3CDTF">2024-07-12T11:38:00Z</dcterms:created>
  <dcterms:modified xsi:type="dcterms:W3CDTF">2024-07-24T12:34:00Z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