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3ED89F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53620">
              <w:t>1957</w:t>
            </w:r>
          </w:p>
          <w:p w14:paraId="5979BB04" w14:textId="11A1721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01D0F">
              <w:t>01 September</w:t>
            </w:r>
            <w:r>
              <w:t xml:space="preserve"> 2023</w:t>
            </w:r>
          </w:p>
        </w:tc>
      </w:tr>
    </w:tbl>
    <w:p w14:paraId="2F678770" w14:textId="77777777" w:rsidR="00F53620" w:rsidRDefault="00793DD5" w:rsidP="00F53620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</w:t>
      </w:r>
    </w:p>
    <w:p w14:paraId="2CE6A4EE" w14:textId="362E75BC" w:rsidR="00F53620" w:rsidRDefault="00793DD5" w:rsidP="00F53620">
      <w:pPr>
        <w:rPr>
          <w:b/>
        </w:rPr>
      </w:pPr>
      <w:r w:rsidRPr="00793DD5">
        <w:t>.</w:t>
      </w:r>
      <w:r w:rsidR="00F53620" w:rsidRPr="00F53620">
        <w:rPr>
          <w:b/>
        </w:rPr>
        <w:t xml:space="preserve">A breakdown of all goods vehicles (between 2 and 7.5 tonnes) caught speeding on the A9 between Perth and Stirling (showing data from every month this year so far - January to August) </w:t>
      </w:r>
    </w:p>
    <w:p w14:paraId="13E93602" w14:textId="77777777" w:rsidR="004F6E8E" w:rsidRDefault="004F6E8E" w:rsidP="004F6E8E">
      <w:pPr>
        <w:rPr>
          <w:b/>
        </w:rPr>
      </w:pPr>
      <w:r w:rsidRPr="00F53620">
        <w:rPr>
          <w:b/>
        </w:rPr>
        <w:t xml:space="preserve">A breakdown of all goods vehicles (between 2 and 7.5 tonnes) caught speeding on the A9 between Perth and Inverness (showing data from every month this year so far – January to August) </w:t>
      </w:r>
    </w:p>
    <w:p w14:paraId="137B13B0" w14:textId="77777777" w:rsidR="004F6E8E" w:rsidRDefault="004F6E8E" w:rsidP="004F6E8E">
      <w:pPr>
        <w:rPr>
          <w:b/>
        </w:rPr>
      </w:pPr>
      <w:r w:rsidRPr="00F53620">
        <w:rPr>
          <w:b/>
        </w:rPr>
        <w:t xml:space="preserve">A breakdown of cars caught speeding on the A9 between Perth and Stirling (showing data from every month this year so far - January to August) </w:t>
      </w:r>
    </w:p>
    <w:p w14:paraId="1DEB821A" w14:textId="77777777" w:rsidR="004F6E8E" w:rsidRDefault="004F6E8E" w:rsidP="004F6E8E">
      <w:pPr>
        <w:rPr>
          <w:b/>
        </w:rPr>
      </w:pPr>
      <w:r w:rsidRPr="00F53620">
        <w:rPr>
          <w:b/>
        </w:rPr>
        <w:t xml:space="preserve">A breakdown of cars caught speeding on the A9 between Perth and Inverness (showing data from every month this year so far – January to August) </w:t>
      </w:r>
    </w:p>
    <w:p w14:paraId="41C7381D" w14:textId="77777777" w:rsidR="004F6E8E" w:rsidRPr="00F53620" w:rsidRDefault="004F6E8E" w:rsidP="004F6E8E">
      <w:pPr>
        <w:rPr>
          <w:b/>
        </w:rPr>
      </w:pPr>
      <w:r w:rsidRPr="00F53620">
        <w:rPr>
          <w:b/>
        </w:rPr>
        <w:t xml:space="preserve">A breakdown of buses and coaches caught speeding on the A9 between Perth and Stirling (showing data from every month this year so far - January to August) </w:t>
      </w:r>
    </w:p>
    <w:p w14:paraId="30A9D507" w14:textId="77777777" w:rsidR="004F6E8E" w:rsidRPr="00F53620" w:rsidRDefault="004F6E8E" w:rsidP="004F6E8E">
      <w:pPr>
        <w:pStyle w:val="Heading2"/>
      </w:pPr>
      <w:r w:rsidRPr="00F53620">
        <w:t xml:space="preserve">A breakdown of buses and coaches caught speeding on the A9 between Perth and Inverness (showing data from every month this year so far – January to August) </w:t>
      </w:r>
    </w:p>
    <w:p w14:paraId="21797D0F" w14:textId="60A3C045" w:rsidR="00892C11" w:rsidRPr="00447A31" w:rsidRDefault="00892C11" w:rsidP="00892C11">
      <w:pPr>
        <w:tabs>
          <w:tab w:val="left" w:pos="5400"/>
        </w:tabs>
      </w:pPr>
      <w:r w:rsidRPr="00447A31">
        <w:t>Having considered these questions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4CBF6943" w14:textId="77777777" w:rsidR="00892C11" w:rsidRPr="00447A31" w:rsidRDefault="00892C11" w:rsidP="00892C11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66360DBF" w14:textId="77777777" w:rsidR="00892C11" w:rsidRPr="00447A31" w:rsidRDefault="00892C11" w:rsidP="00892C11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2BA537E" w14:textId="6139FD25" w:rsidR="00892C11" w:rsidRDefault="00892C11" w:rsidP="00892C11">
      <w:pPr>
        <w:tabs>
          <w:tab w:val="left" w:pos="5400"/>
        </w:tabs>
      </w:pPr>
      <w:r w:rsidRPr="00447A31">
        <w:t>By way of explanation, the only way to provide an accurate response to your request would be to</w:t>
      </w:r>
      <w:r>
        <w:t xml:space="preserve"> manually examine each and every offence of speeding for the 3 divisions that </w:t>
      </w:r>
      <w:r>
        <w:lastRenderedPageBreak/>
        <w:t xml:space="preserve">the A9 </w:t>
      </w:r>
      <w:r w:rsidR="00091436">
        <w:t>runs through to</w:t>
      </w:r>
      <w:r>
        <w:t xml:space="preserve"> establish whether the location is recorded as the A9 and also the type of vehicle involved</w:t>
      </w:r>
      <w:r w:rsidRPr="00447A31">
        <w:t>- an exercise which I estimate would far exceed the cost limit set out in the Fees Regulations.</w:t>
      </w:r>
    </w:p>
    <w:p w14:paraId="78C1A7DA" w14:textId="7D12576E" w:rsidR="00892C11" w:rsidRDefault="00892C11" w:rsidP="00892C11">
      <w:pPr>
        <w:tabs>
          <w:tab w:val="left" w:pos="5400"/>
        </w:tabs>
      </w:pPr>
      <w:r>
        <w:t>To illustrate</w:t>
      </w:r>
      <w:r w:rsidR="00BB4B88">
        <w:t xml:space="preserve"> the number of crime reports involved</w:t>
      </w:r>
      <w:r>
        <w:t xml:space="preserve">, our published crime statistic Q4 of the financial year 2022/23 which includes the months January to March 2023 show that in Tayside Division there were </w:t>
      </w:r>
      <w:r w:rsidR="00BB4B88">
        <w:t xml:space="preserve">1892 speeding offences, 2087 in the Highlands and </w:t>
      </w:r>
      <w:r w:rsidR="002F0013">
        <w:t>I</w:t>
      </w:r>
      <w:r w:rsidR="00BB4B88">
        <w:t xml:space="preserve">slands Division and 851 in Forth Valley Division. </w:t>
      </w:r>
    </w:p>
    <w:p w14:paraId="4C826B79" w14:textId="19920A0A" w:rsidR="00BB4B88" w:rsidRPr="00447A31" w:rsidRDefault="00BB4B88" w:rsidP="00892C11">
      <w:pPr>
        <w:tabs>
          <w:tab w:val="left" w:pos="5400"/>
        </w:tabs>
      </w:pPr>
      <w:r>
        <w:t xml:space="preserve">Please also be advised that in certain circumstances an individual may be reported for dangerous driving rather than speeding. </w:t>
      </w:r>
    </w:p>
    <w:p w14:paraId="77A8A6D8" w14:textId="0518650C" w:rsidR="004F6E8E" w:rsidRDefault="004F6E8E" w:rsidP="00F53620">
      <w:pPr>
        <w:rPr>
          <w:b/>
        </w:rPr>
      </w:pPr>
    </w:p>
    <w:p w14:paraId="75D2989B" w14:textId="77777777" w:rsidR="00F53620" w:rsidRDefault="00F53620" w:rsidP="00F53620">
      <w:pPr>
        <w:rPr>
          <w:b/>
        </w:rPr>
      </w:pPr>
      <w:r w:rsidRPr="00F53620">
        <w:rPr>
          <w:b/>
        </w:rPr>
        <w:t xml:space="preserve">A breakdown of all goods vehicles (between 2 and 7.5 tonnes) caught speeding on the A9 by average speed camera between Perth and Stirling (showing data from every month this year from January to August). </w:t>
      </w:r>
    </w:p>
    <w:p w14:paraId="4E175297" w14:textId="77777777" w:rsidR="00F53620" w:rsidRDefault="00F53620" w:rsidP="00F53620">
      <w:pPr>
        <w:rPr>
          <w:b/>
        </w:rPr>
      </w:pPr>
      <w:bookmarkStart w:id="0" w:name="_Hlk143691130"/>
      <w:r w:rsidRPr="00F53620">
        <w:rPr>
          <w:b/>
        </w:rPr>
        <w:t xml:space="preserve">A breakdown of all goods vehicles (between 2 and 7.5 tonnes) caught speeding by average speed cameras on the A9 between Perth and Inverness (showing data from every month this year so far – January to August) </w:t>
      </w:r>
    </w:p>
    <w:p w14:paraId="71CE3089" w14:textId="77777777" w:rsidR="00F53620" w:rsidRDefault="00F53620" w:rsidP="00F53620">
      <w:pPr>
        <w:rPr>
          <w:b/>
        </w:rPr>
      </w:pPr>
      <w:r w:rsidRPr="00F53620">
        <w:rPr>
          <w:b/>
        </w:rPr>
        <w:t xml:space="preserve">A breakdown of cars caught speeding on the A9 by average speed camera between Perth and Stirling (showing data from every month this year from January to August). </w:t>
      </w:r>
    </w:p>
    <w:p w14:paraId="5EAFDF0F" w14:textId="3F8FC2B5" w:rsidR="004F6E8E" w:rsidRPr="004F6E8E" w:rsidRDefault="004F6E8E" w:rsidP="004F6E8E">
      <w:pPr>
        <w:pStyle w:val="Heading2"/>
      </w:pPr>
      <w:r w:rsidRPr="00F53620">
        <w:t xml:space="preserve">A breakdown of buses and coaches caught speeding on the A9 by average speed camera between Perth and Stirling (showing data from every month this year from January to August). </w:t>
      </w:r>
    </w:p>
    <w:p w14:paraId="63B83738" w14:textId="77777777" w:rsidR="00F53620" w:rsidRDefault="00F53620" w:rsidP="00F53620">
      <w:pPr>
        <w:rPr>
          <w:b/>
        </w:rPr>
      </w:pPr>
      <w:r w:rsidRPr="00F53620">
        <w:rPr>
          <w:b/>
        </w:rPr>
        <w:t xml:space="preserve">A breakdown of cars caught speeding by average speed cameras on the A9 between Perth and Inverness (showing data from every month this year so far – January to August) </w:t>
      </w:r>
    </w:p>
    <w:p w14:paraId="50630EF2" w14:textId="77777777" w:rsidR="00F53620" w:rsidRDefault="00F53620" w:rsidP="00F53620">
      <w:pPr>
        <w:pStyle w:val="Heading2"/>
      </w:pPr>
      <w:r w:rsidRPr="00F53620">
        <w:t xml:space="preserve">A breakdown of buses and coaches caught speeding by average speed cameras on the A9 between Perth and Inverness (showing data from every month this year so far – January to August) </w:t>
      </w:r>
    </w:p>
    <w:p w14:paraId="5BE33CBC" w14:textId="2F74C837" w:rsidR="00091436" w:rsidRPr="007A7403" w:rsidRDefault="00091436" w:rsidP="00091436">
      <w:r w:rsidRPr="007A7403">
        <w:t>The following information is taken from a live database and therefor is subject to change as updates are received</w:t>
      </w:r>
      <w:r>
        <w:t>. The data provided is correct as of 23 August 2023.</w:t>
      </w:r>
    </w:p>
    <w:p w14:paraId="7E3F262A" w14:textId="77777777" w:rsidR="00091436" w:rsidRPr="00091436" w:rsidRDefault="00091436" w:rsidP="00091436"/>
    <w:bookmarkEnd w:id="0"/>
    <w:tbl>
      <w:tblPr>
        <w:tblStyle w:val="TableGrid"/>
        <w:tblW w:w="9493" w:type="dxa"/>
        <w:tblLook w:val="04A0" w:firstRow="1" w:lastRow="0" w:firstColumn="1" w:lastColumn="0" w:noHBand="0" w:noVBand="1"/>
        <w:tblCaption w:val="Table of average speed camera detections by month/type"/>
        <w:tblDescription w:val="Table of average speed camera detections by month/type"/>
      </w:tblPr>
      <w:tblGrid>
        <w:gridCol w:w="1898"/>
        <w:gridCol w:w="1265"/>
        <w:gridCol w:w="1266"/>
        <w:gridCol w:w="1266"/>
        <w:gridCol w:w="1899"/>
        <w:gridCol w:w="1899"/>
      </w:tblGrid>
      <w:tr w:rsidR="00091436" w:rsidRPr="00557306" w14:paraId="3A832CC2" w14:textId="77777777" w:rsidTr="00091436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01E7E59F" w14:textId="2F4E0894" w:rsidR="00091436" w:rsidRPr="00557306" w:rsidRDefault="00091436" w:rsidP="00AC79F2">
            <w:pPr>
              <w:rPr>
                <w:b/>
              </w:rPr>
            </w:pPr>
          </w:p>
        </w:tc>
        <w:tc>
          <w:tcPr>
            <w:tcW w:w="3797" w:type="dxa"/>
            <w:gridSpan w:val="3"/>
            <w:shd w:val="clear" w:color="auto" w:fill="D9D9D9" w:themeFill="background1" w:themeFillShade="D9"/>
          </w:tcPr>
          <w:p w14:paraId="73B9549D" w14:textId="1CD8D05A" w:rsidR="00091436" w:rsidRPr="00557306" w:rsidRDefault="00091436" w:rsidP="00091436">
            <w:pPr>
              <w:jc w:val="center"/>
              <w:rPr>
                <w:b/>
              </w:rPr>
            </w:pPr>
            <w:r>
              <w:rPr>
                <w:b/>
              </w:rPr>
              <w:t>Perth to Inverness</w:t>
            </w:r>
          </w:p>
        </w:tc>
        <w:tc>
          <w:tcPr>
            <w:tcW w:w="3798" w:type="dxa"/>
            <w:gridSpan w:val="2"/>
            <w:shd w:val="clear" w:color="auto" w:fill="D9D9D9" w:themeFill="background1" w:themeFillShade="D9"/>
          </w:tcPr>
          <w:p w14:paraId="3CDB0CB4" w14:textId="6A89B84B" w:rsidR="00091436" w:rsidRPr="00557306" w:rsidRDefault="00091436" w:rsidP="00091436">
            <w:pPr>
              <w:jc w:val="center"/>
              <w:rPr>
                <w:b/>
              </w:rPr>
            </w:pPr>
            <w:r>
              <w:rPr>
                <w:b/>
              </w:rPr>
              <w:t>Perth to Stirling</w:t>
            </w:r>
          </w:p>
        </w:tc>
      </w:tr>
      <w:tr w:rsidR="00091436" w:rsidRPr="00557306" w14:paraId="40F26D0B" w14:textId="77777777" w:rsidTr="00091436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304C7930" w14:textId="5BAB6493" w:rsidR="00091436" w:rsidRDefault="00091436" w:rsidP="00AC79F2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07371E9E" w14:textId="05CD0F61" w:rsidR="00091436" w:rsidRDefault="00091436" w:rsidP="00091436">
            <w:pPr>
              <w:jc w:val="right"/>
              <w:rPr>
                <w:b/>
              </w:rPr>
            </w:pPr>
            <w:r>
              <w:rPr>
                <w:b/>
              </w:rPr>
              <w:t>LGV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689E417A" w14:textId="7A627B50" w:rsidR="00091436" w:rsidRDefault="00091436" w:rsidP="00091436">
            <w:pPr>
              <w:jc w:val="right"/>
              <w:rPr>
                <w:b/>
              </w:rPr>
            </w:pPr>
            <w:r>
              <w:rPr>
                <w:b/>
              </w:rPr>
              <w:t>Cars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00D1FF02" w14:textId="05594DA7" w:rsidR="00091436" w:rsidRDefault="00091436" w:rsidP="00091436">
            <w:pPr>
              <w:jc w:val="right"/>
              <w:rPr>
                <w:b/>
              </w:rPr>
            </w:pPr>
            <w:r>
              <w:rPr>
                <w:b/>
              </w:rPr>
              <w:t>PSV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133097AB" w14:textId="35E6BF96" w:rsidR="00091436" w:rsidRPr="00557306" w:rsidRDefault="00091436" w:rsidP="00091436">
            <w:pPr>
              <w:jc w:val="right"/>
              <w:rPr>
                <w:b/>
              </w:rPr>
            </w:pPr>
            <w:r>
              <w:rPr>
                <w:b/>
              </w:rPr>
              <w:t>Cars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4A37277B" w14:textId="13F10C9C" w:rsidR="00091436" w:rsidRPr="00557306" w:rsidRDefault="00091436" w:rsidP="00091436">
            <w:pPr>
              <w:jc w:val="right"/>
              <w:rPr>
                <w:b/>
              </w:rPr>
            </w:pPr>
            <w:r>
              <w:rPr>
                <w:b/>
              </w:rPr>
              <w:t>PSV</w:t>
            </w:r>
          </w:p>
        </w:tc>
      </w:tr>
      <w:tr w:rsidR="00091436" w:rsidRPr="007A7403" w14:paraId="5E4EB511" w14:textId="77777777" w:rsidTr="00091436">
        <w:trPr>
          <w:trHeight w:val="290"/>
        </w:trPr>
        <w:tc>
          <w:tcPr>
            <w:tcW w:w="1898" w:type="dxa"/>
            <w:noWrap/>
            <w:hideMark/>
          </w:tcPr>
          <w:p w14:paraId="504CADA3" w14:textId="77777777" w:rsidR="00091436" w:rsidRPr="007A7403" w:rsidRDefault="00091436" w:rsidP="00AC79F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January</w:t>
            </w:r>
          </w:p>
        </w:tc>
        <w:tc>
          <w:tcPr>
            <w:tcW w:w="1265" w:type="dxa"/>
            <w:noWrap/>
            <w:hideMark/>
          </w:tcPr>
          <w:p w14:paraId="28AE2F31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1266" w:type="dxa"/>
            <w:noWrap/>
            <w:hideMark/>
          </w:tcPr>
          <w:p w14:paraId="3D5530A2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296</w:t>
            </w:r>
          </w:p>
        </w:tc>
        <w:tc>
          <w:tcPr>
            <w:tcW w:w="1266" w:type="dxa"/>
            <w:noWrap/>
            <w:hideMark/>
          </w:tcPr>
          <w:p w14:paraId="08379BC9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noWrap/>
            <w:hideMark/>
          </w:tcPr>
          <w:p w14:paraId="586014D5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132</w:t>
            </w:r>
          </w:p>
        </w:tc>
        <w:tc>
          <w:tcPr>
            <w:tcW w:w="1899" w:type="dxa"/>
            <w:noWrap/>
            <w:hideMark/>
          </w:tcPr>
          <w:p w14:paraId="790C0CA9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91436" w:rsidRPr="007A7403" w14:paraId="051FD571" w14:textId="77777777" w:rsidTr="00091436">
        <w:trPr>
          <w:trHeight w:val="290"/>
        </w:trPr>
        <w:tc>
          <w:tcPr>
            <w:tcW w:w="1898" w:type="dxa"/>
            <w:noWrap/>
            <w:hideMark/>
          </w:tcPr>
          <w:p w14:paraId="0C8528D1" w14:textId="77777777" w:rsidR="00091436" w:rsidRPr="007A7403" w:rsidRDefault="00091436" w:rsidP="00AC79F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February</w:t>
            </w:r>
          </w:p>
        </w:tc>
        <w:tc>
          <w:tcPr>
            <w:tcW w:w="1265" w:type="dxa"/>
            <w:noWrap/>
            <w:hideMark/>
          </w:tcPr>
          <w:p w14:paraId="6B7B9305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266" w:type="dxa"/>
            <w:noWrap/>
            <w:hideMark/>
          </w:tcPr>
          <w:p w14:paraId="7EC41063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155</w:t>
            </w:r>
          </w:p>
        </w:tc>
        <w:tc>
          <w:tcPr>
            <w:tcW w:w="1266" w:type="dxa"/>
            <w:noWrap/>
            <w:hideMark/>
          </w:tcPr>
          <w:p w14:paraId="42B5A39F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noWrap/>
            <w:hideMark/>
          </w:tcPr>
          <w:p w14:paraId="4D52D5C4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173</w:t>
            </w:r>
          </w:p>
        </w:tc>
        <w:tc>
          <w:tcPr>
            <w:tcW w:w="1899" w:type="dxa"/>
            <w:noWrap/>
            <w:hideMark/>
          </w:tcPr>
          <w:p w14:paraId="7DDF9338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91436" w:rsidRPr="007A7403" w14:paraId="7685FDE4" w14:textId="77777777" w:rsidTr="00091436">
        <w:trPr>
          <w:trHeight w:val="290"/>
        </w:trPr>
        <w:tc>
          <w:tcPr>
            <w:tcW w:w="1898" w:type="dxa"/>
            <w:noWrap/>
            <w:hideMark/>
          </w:tcPr>
          <w:p w14:paraId="314BFA89" w14:textId="77777777" w:rsidR="00091436" w:rsidRPr="007A7403" w:rsidRDefault="00091436" w:rsidP="00AC79F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March</w:t>
            </w:r>
          </w:p>
        </w:tc>
        <w:tc>
          <w:tcPr>
            <w:tcW w:w="1265" w:type="dxa"/>
            <w:noWrap/>
            <w:hideMark/>
          </w:tcPr>
          <w:p w14:paraId="4AD7333C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60</w:t>
            </w:r>
          </w:p>
        </w:tc>
        <w:tc>
          <w:tcPr>
            <w:tcW w:w="1266" w:type="dxa"/>
            <w:noWrap/>
            <w:hideMark/>
          </w:tcPr>
          <w:p w14:paraId="3CD559FE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506</w:t>
            </w:r>
          </w:p>
        </w:tc>
        <w:tc>
          <w:tcPr>
            <w:tcW w:w="1266" w:type="dxa"/>
            <w:noWrap/>
            <w:hideMark/>
          </w:tcPr>
          <w:p w14:paraId="5FEA2CE7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noWrap/>
            <w:hideMark/>
          </w:tcPr>
          <w:p w14:paraId="35C98CA2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264</w:t>
            </w:r>
          </w:p>
        </w:tc>
        <w:tc>
          <w:tcPr>
            <w:tcW w:w="1899" w:type="dxa"/>
            <w:noWrap/>
            <w:hideMark/>
          </w:tcPr>
          <w:p w14:paraId="10250037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91436" w:rsidRPr="007A7403" w14:paraId="7A6381FF" w14:textId="77777777" w:rsidTr="00091436">
        <w:trPr>
          <w:trHeight w:val="290"/>
        </w:trPr>
        <w:tc>
          <w:tcPr>
            <w:tcW w:w="1898" w:type="dxa"/>
            <w:noWrap/>
            <w:hideMark/>
          </w:tcPr>
          <w:p w14:paraId="0D6A11B6" w14:textId="77777777" w:rsidR="00091436" w:rsidRPr="007A7403" w:rsidRDefault="00091436" w:rsidP="00AC79F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April</w:t>
            </w:r>
          </w:p>
        </w:tc>
        <w:tc>
          <w:tcPr>
            <w:tcW w:w="1265" w:type="dxa"/>
            <w:noWrap/>
            <w:hideMark/>
          </w:tcPr>
          <w:p w14:paraId="39362C97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49</w:t>
            </w:r>
          </w:p>
        </w:tc>
        <w:tc>
          <w:tcPr>
            <w:tcW w:w="1266" w:type="dxa"/>
            <w:noWrap/>
            <w:hideMark/>
          </w:tcPr>
          <w:p w14:paraId="6E595C8B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498</w:t>
            </w:r>
          </w:p>
        </w:tc>
        <w:tc>
          <w:tcPr>
            <w:tcW w:w="1266" w:type="dxa"/>
            <w:noWrap/>
            <w:hideMark/>
          </w:tcPr>
          <w:p w14:paraId="75402978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noWrap/>
            <w:hideMark/>
          </w:tcPr>
          <w:p w14:paraId="3983CCDE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476</w:t>
            </w:r>
          </w:p>
        </w:tc>
        <w:tc>
          <w:tcPr>
            <w:tcW w:w="1899" w:type="dxa"/>
            <w:noWrap/>
            <w:hideMark/>
          </w:tcPr>
          <w:p w14:paraId="10572643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91436" w:rsidRPr="007A7403" w14:paraId="5D20EA87" w14:textId="77777777" w:rsidTr="00091436">
        <w:trPr>
          <w:trHeight w:val="290"/>
        </w:trPr>
        <w:tc>
          <w:tcPr>
            <w:tcW w:w="1898" w:type="dxa"/>
            <w:noWrap/>
            <w:hideMark/>
          </w:tcPr>
          <w:p w14:paraId="567F138A" w14:textId="77777777" w:rsidR="00091436" w:rsidRPr="007A7403" w:rsidRDefault="00091436" w:rsidP="00AC79F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May</w:t>
            </w:r>
          </w:p>
        </w:tc>
        <w:tc>
          <w:tcPr>
            <w:tcW w:w="1265" w:type="dxa"/>
            <w:noWrap/>
            <w:hideMark/>
          </w:tcPr>
          <w:p w14:paraId="641D715E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1266" w:type="dxa"/>
            <w:noWrap/>
            <w:hideMark/>
          </w:tcPr>
          <w:p w14:paraId="589313FD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482</w:t>
            </w:r>
          </w:p>
        </w:tc>
        <w:tc>
          <w:tcPr>
            <w:tcW w:w="1266" w:type="dxa"/>
            <w:noWrap/>
            <w:hideMark/>
          </w:tcPr>
          <w:p w14:paraId="1D72BFE2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noWrap/>
            <w:hideMark/>
          </w:tcPr>
          <w:p w14:paraId="5637F4F3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829</w:t>
            </w:r>
          </w:p>
        </w:tc>
        <w:tc>
          <w:tcPr>
            <w:tcW w:w="1899" w:type="dxa"/>
            <w:noWrap/>
            <w:hideMark/>
          </w:tcPr>
          <w:p w14:paraId="3BBD02CB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91436" w:rsidRPr="007A7403" w14:paraId="1B0D2B47" w14:textId="77777777" w:rsidTr="00091436">
        <w:trPr>
          <w:trHeight w:val="290"/>
        </w:trPr>
        <w:tc>
          <w:tcPr>
            <w:tcW w:w="1898" w:type="dxa"/>
            <w:noWrap/>
            <w:hideMark/>
          </w:tcPr>
          <w:p w14:paraId="52D23381" w14:textId="77777777" w:rsidR="00091436" w:rsidRPr="007A7403" w:rsidRDefault="00091436" w:rsidP="00AC79F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June</w:t>
            </w:r>
          </w:p>
        </w:tc>
        <w:tc>
          <w:tcPr>
            <w:tcW w:w="1265" w:type="dxa"/>
            <w:noWrap/>
            <w:hideMark/>
          </w:tcPr>
          <w:p w14:paraId="650EBC5E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24</w:t>
            </w:r>
          </w:p>
        </w:tc>
        <w:tc>
          <w:tcPr>
            <w:tcW w:w="1266" w:type="dxa"/>
            <w:noWrap/>
            <w:hideMark/>
          </w:tcPr>
          <w:p w14:paraId="015D608E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236</w:t>
            </w:r>
          </w:p>
        </w:tc>
        <w:tc>
          <w:tcPr>
            <w:tcW w:w="1266" w:type="dxa"/>
            <w:noWrap/>
            <w:hideMark/>
          </w:tcPr>
          <w:p w14:paraId="764DEB78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noWrap/>
            <w:hideMark/>
          </w:tcPr>
          <w:p w14:paraId="264F4A2A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641</w:t>
            </w:r>
          </w:p>
        </w:tc>
        <w:tc>
          <w:tcPr>
            <w:tcW w:w="1899" w:type="dxa"/>
            <w:noWrap/>
            <w:hideMark/>
          </w:tcPr>
          <w:p w14:paraId="4ADCFE1B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91436" w:rsidRPr="007A7403" w14:paraId="177AEBB0" w14:textId="77777777" w:rsidTr="00091436">
        <w:trPr>
          <w:trHeight w:val="290"/>
        </w:trPr>
        <w:tc>
          <w:tcPr>
            <w:tcW w:w="1898" w:type="dxa"/>
            <w:noWrap/>
            <w:hideMark/>
          </w:tcPr>
          <w:p w14:paraId="6341F19F" w14:textId="77777777" w:rsidR="00091436" w:rsidRPr="007A7403" w:rsidRDefault="00091436" w:rsidP="00AC79F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July</w:t>
            </w:r>
          </w:p>
        </w:tc>
        <w:tc>
          <w:tcPr>
            <w:tcW w:w="1265" w:type="dxa"/>
            <w:noWrap/>
            <w:hideMark/>
          </w:tcPr>
          <w:p w14:paraId="73DF4EC1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1080</w:t>
            </w:r>
          </w:p>
        </w:tc>
        <w:tc>
          <w:tcPr>
            <w:tcW w:w="1266" w:type="dxa"/>
            <w:noWrap/>
            <w:hideMark/>
          </w:tcPr>
          <w:p w14:paraId="58DD34D4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528</w:t>
            </w:r>
          </w:p>
        </w:tc>
        <w:tc>
          <w:tcPr>
            <w:tcW w:w="1266" w:type="dxa"/>
            <w:noWrap/>
            <w:hideMark/>
          </w:tcPr>
          <w:p w14:paraId="39408674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70</w:t>
            </w:r>
          </w:p>
        </w:tc>
        <w:tc>
          <w:tcPr>
            <w:tcW w:w="1899" w:type="dxa"/>
            <w:noWrap/>
            <w:hideMark/>
          </w:tcPr>
          <w:p w14:paraId="7B72D705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534</w:t>
            </w:r>
          </w:p>
        </w:tc>
        <w:tc>
          <w:tcPr>
            <w:tcW w:w="1899" w:type="dxa"/>
            <w:noWrap/>
            <w:hideMark/>
          </w:tcPr>
          <w:p w14:paraId="7FAFD492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091436" w:rsidRPr="007A7403" w14:paraId="731BF508" w14:textId="77777777" w:rsidTr="00091436">
        <w:trPr>
          <w:trHeight w:val="290"/>
        </w:trPr>
        <w:tc>
          <w:tcPr>
            <w:tcW w:w="1898" w:type="dxa"/>
            <w:noWrap/>
            <w:hideMark/>
          </w:tcPr>
          <w:p w14:paraId="61B08225" w14:textId="4F773B01" w:rsidR="00091436" w:rsidRPr="007A7403" w:rsidRDefault="00091436" w:rsidP="00AC79F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August</w:t>
            </w:r>
          </w:p>
        </w:tc>
        <w:tc>
          <w:tcPr>
            <w:tcW w:w="1265" w:type="dxa"/>
            <w:noWrap/>
            <w:hideMark/>
          </w:tcPr>
          <w:p w14:paraId="4B7DC305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266" w:type="dxa"/>
            <w:noWrap/>
            <w:hideMark/>
          </w:tcPr>
          <w:p w14:paraId="32AF8124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137</w:t>
            </w:r>
          </w:p>
        </w:tc>
        <w:tc>
          <w:tcPr>
            <w:tcW w:w="1266" w:type="dxa"/>
            <w:noWrap/>
            <w:hideMark/>
          </w:tcPr>
          <w:p w14:paraId="11FA1241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noWrap/>
            <w:hideMark/>
          </w:tcPr>
          <w:p w14:paraId="419B08BA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178</w:t>
            </w:r>
          </w:p>
        </w:tc>
        <w:tc>
          <w:tcPr>
            <w:tcW w:w="1899" w:type="dxa"/>
            <w:noWrap/>
            <w:hideMark/>
          </w:tcPr>
          <w:p w14:paraId="73AA9B7D" w14:textId="77777777" w:rsidR="00091436" w:rsidRPr="007A7403" w:rsidRDefault="00091436" w:rsidP="00AC79F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A7403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</w:tbl>
    <w:p w14:paraId="7DBF90A2" w14:textId="3B6CD1DA" w:rsidR="00091436" w:rsidRDefault="00091436" w:rsidP="00793DD5">
      <w:pPr>
        <w:tabs>
          <w:tab w:val="left" w:pos="5400"/>
        </w:tabs>
      </w:pPr>
      <w:r>
        <w:t>LGV: Light Goods Vehicle</w:t>
      </w:r>
    </w:p>
    <w:p w14:paraId="2954DD7B" w14:textId="3F2551AA" w:rsidR="00091436" w:rsidRDefault="00091436" w:rsidP="00793DD5">
      <w:pPr>
        <w:tabs>
          <w:tab w:val="left" w:pos="5400"/>
        </w:tabs>
      </w:pPr>
      <w:r>
        <w:t>PSV: Public Service Vehicle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4DB0FE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1D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3F3E0F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1D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BD5BFA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1D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0F72848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1D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4ED93B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1D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7EA8DF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1D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91436"/>
    <w:rsid w:val="000E6526"/>
    <w:rsid w:val="00141533"/>
    <w:rsid w:val="00167528"/>
    <w:rsid w:val="00195CC4"/>
    <w:rsid w:val="00207326"/>
    <w:rsid w:val="00253DF6"/>
    <w:rsid w:val="00255F1E"/>
    <w:rsid w:val="002F0013"/>
    <w:rsid w:val="00301D0F"/>
    <w:rsid w:val="0036503B"/>
    <w:rsid w:val="003C6D8C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4F6E8E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2C11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B4B88"/>
    <w:rsid w:val="00BC389E"/>
    <w:rsid w:val="00BE1888"/>
    <w:rsid w:val="00BF6B81"/>
    <w:rsid w:val="00C077A8"/>
    <w:rsid w:val="00C14FF4"/>
    <w:rsid w:val="00C41CAE"/>
    <w:rsid w:val="00C606A2"/>
    <w:rsid w:val="00C63872"/>
    <w:rsid w:val="00C75CFB"/>
    <w:rsid w:val="00C84948"/>
    <w:rsid w:val="00CF1111"/>
    <w:rsid w:val="00D05706"/>
    <w:rsid w:val="00D27DC5"/>
    <w:rsid w:val="00D47E36"/>
    <w:rsid w:val="00E55D79"/>
    <w:rsid w:val="00EE2373"/>
    <w:rsid w:val="00EF4761"/>
    <w:rsid w:val="00F5362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796</Words>
  <Characters>4543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2023-09-01T13:02:00Z</cp:lastPrinted>
  <dcterms:created xsi:type="dcterms:W3CDTF">2021-10-06T12:31:00Z</dcterms:created>
  <dcterms:modified xsi:type="dcterms:W3CDTF">2023-09-01T13:03:00Z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