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334D2F3" w:rsidR="00B17211" w:rsidRPr="00B17211" w:rsidRDefault="00B17211" w:rsidP="007F490F">
            <w:r w:rsidRPr="007F490F">
              <w:rPr>
                <w:rStyle w:val="Heading2Char"/>
              </w:rPr>
              <w:t>Our reference:</w:t>
            </w:r>
            <w:r>
              <w:t xml:space="preserve">  FOI 2</w:t>
            </w:r>
            <w:r w:rsidR="00EF0FBB">
              <w:t>5</w:t>
            </w:r>
            <w:r>
              <w:t>-</w:t>
            </w:r>
            <w:r w:rsidR="00B979D8">
              <w:t>3277</w:t>
            </w:r>
          </w:p>
          <w:p w14:paraId="34BDABA6" w14:textId="42D18A5D" w:rsidR="00B17211" w:rsidRDefault="00456324" w:rsidP="00EE2373">
            <w:r w:rsidRPr="007F490F">
              <w:rPr>
                <w:rStyle w:val="Heading2Char"/>
              </w:rPr>
              <w:t>Respon</w:t>
            </w:r>
            <w:r w:rsidR="007D55F6">
              <w:rPr>
                <w:rStyle w:val="Heading2Char"/>
              </w:rPr>
              <w:t>ded to:</w:t>
            </w:r>
            <w:r w:rsidR="007F490F">
              <w:t xml:space="preserve">  </w:t>
            </w:r>
            <w:r w:rsidR="00F31D75">
              <w:t>31</w:t>
            </w:r>
            <w:r w:rsidR="006D5799">
              <w:t xml:space="preserve"> </w:t>
            </w:r>
            <w:r w:rsidR="00B654B6">
              <w:t>January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10E4000" w14:textId="4D71E5CE" w:rsidR="00B979D8" w:rsidRDefault="00B979D8" w:rsidP="0054557F">
      <w:pPr>
        <w:pStyle w:val="Heading2"/>
        <w:numPr>
          <w:ilvl w:val="0"/>
          <w:numId w:val="3"/>
        </w:numPr>
      </w:pPr>
      <w:r>
        <w:t>A</w:t>
      </w:r>
      <w:r>
        <w:rPr>
          <w:spacing w:val="-9"/>
        </w:rPr>
        <w:t xml:space="preserve"> </w:t>
      </w:r>
      <w:r>
        <w:t>comprehensive list</w:t>
      </w:r>
      <w:r>
        <w:rPr>
          <w:spacing w:val="-5"/>
        </w:rPr>
        <w:t xml:space="preserve"> </w:t>
      </w:r>
      <w:r>
        <w:t>of any journalists and</w:t>
      </w:r>
      <w:r>
        <w:rPr>
          <w:spacing w:val="-4"/>
        </w:rPr>
        <w:t xml:space="preserve"> </w:t>
      </w:r>
      <w:r>
        <w:t>lawyers subjected to</w:t>
      </w:r>
      <w:r>
        <w:rPr>
          <w:spacing w:val="-2"/>
        </w:rPr>
        <w:t xml:space="preserve"> </w:t>
      </w:r>
      <w:r>
        <w:t>surveillance by</w:t>
      </w:r>
      <w:r>
        <w:rPr>
          <w:spacing w:val="-1"/>
        </w:rPr>
        <w:t xml:space="preserve"> </w:t>
      </w:r>
      <w:r>
        <w:t>your police force between 2010 and 2024, but if there are appropriate reasons for withholding the</w:t>
      </w:r>
      <w:r>
        <w:rPr>
          <w:spacing w:val="-5"/>
        </w:rPr>
        <w:t xml:space="preserve"> </w:t>
      </w:r>
      <w:r>
        <w:t>names,</w:t>
      </w:r>
      <w:r>
        <w:rPr>
          <w:spacing w:val="-3"/>
        </w:rPr>
        <w:t xml:space="preserve"> </w:t>
      </w:r>
      <w:r>
        <w:t>then</w:t>
      </w:r>
      <w:r>
        <w:rPr>
          <w:spacing w:val="-4"/>
        </w:rPr>
        <w:t xml:space="preserve"> </w:t>
      </w:r>
      <w:r>
        <w:t>at</w:t>
      </w:r>
      <w:r>
        <w:rPr>
          <w:spacing w:val="-7"/>
        </w:rPr>
        <w:t xml:space="preserve"> </w:t>
      </w:r>
      <w:r>
        <w:t>least</w:t>
      </w:r>
      <w:r>
        <w:rPr>
          <w:spacing w:val="-2"/>
        </w:rPr>
        <w:t xml:space="preserve"> </w:t>
      </w:r>
      <w:r>
        <w:t>the</w:t>
      </w:r>
      <w:r>
        <w:rPr>
          <w:spacing w:val="-10"/>
        </w:rPr>
        <w:t xml:space="preserve"> </w:t>
      </w:r>
      <w:r>
        <w:t>number of</w:t>
      </w:r>
      <w:r>
        <w:rPr>
          <w:spacing w:val="-10"/>
        </w:rPr>
        <w:t xml:space="preserve"> </w:t>
      </w:r>
      <w:r>
        <w:t>targets</w:t>
      </w:r>
      <w:r>
        <w:rPr>
          <w:spacing w:val="-1"/>
        </w:rPr>
        <w:t xml:space="preserve"> </w:t>
      </w:r>
      <w:r>
        <w:t>of</w:t>
      </w:r>
      <w:r>
        <w:rPr>
          <w:spacing w:val="-5"/>
        </w:rPr>
        <w:t xml:space="preserve"> </w:t>
      </w:r>
      <w:r>
        <w:t>such</w:t>
      </w:r>
      <w:r>
        <w:rPr>
          <w:spacing w:val="-2"/>
        </w:rPr>
        <w:t xml:space="preserve"> </w:t>
      </w:r>
      <w:r>
        <w:t xml:space="preserve">surveillance carried </w:t>
      </w:r>
      <w:r>
        <w:rPr>
          <w:spacing w:val="-4"/>
        </w:rPr>
        <w:t>out.</w:t>
      </w:r>
    </w:p>
    <w:p w14:paraId="2ABA1BCA" w14:textId="3E488339" w:rsidR="00B979D8" w:rsidRDefault="00B979D8" w:rsidP="0054557F">
      <w:pPr>
        <w:pStyle w:val="Heading2"/>
        <w:numPr>
          <w:ilvl w:val="0"/>
          <w:numId w:val="3"/>
        </w:numPr>
      </w:pPr>
      <w:r>
        <w:t xml:space="preserve">Details of the circumstances and authorisations under which such surveillance was </w:t>
      </w:r>
      <w:r>
        <w:rPr>
          <w:spacing w:val="-2"/>
        </w:rPr>
        <w:t>conducted.</w:t>
      </w:r>
    </w:p>
    <w:p w14:paraId="0387837E" w14:textId="43485FD2" w:rsidR="00B979D8" w:rsidRDefault="00B979D8" w:rsidP="00B979D8">
      <w:pPr>
        <w:pStyle w:val="Heading2"/>
      </w:pPr>
      <w:r>
        <w:rPr>
          <w:color w:val="1A1A11"/>
        </w:rPr>
        <w:t>If</w:t>
      </w:r>
      <w:r>
        <w:rPr>
          <w:color w:val="1A1A11"/>
          <w:spacing w:val="23"/>
        </w:rPr>
        <w:t xml:space="preserve"> </w:t>
      </w:r>
      <w:r>
        <w:rPr>
          <w:color w:val="2B2A1C"/>
        </w:rPr>
        <w:t>your</w:t>
      </w:r>
      <w:r>
        <w:rPr>
          <w:color w:val="2B2A1C"/>
          <w:spacing w:val="27"/>
        </w:rPr>
        <w:t xml:space="preserve"> </w:t>
      </w:r>
      <w:r>
        <w:rPr>
          <w:color w:val="1A1A11"/>
        </w:rPr>
        <w:t>force</w:t>
      </w:r>
      <w:r>
        <w:rPr>
          <w:color w:val="1A1A11"/>
          <w:spacing w:val="24"/>
        </w:rPr>
        <w:t xml:space="preserve"> </w:t>
      </w:r>
      <w:r>
        <w:rPr>
          <w:color w:val="1A1A11"/>
        </w:rPr>
        <w:t>has</w:t>
      </w:r>
      <w:r>
        <w:rPr>
          <w:color w:val="1A1A11"/>
          <w:spacing w:val="20"/>
        </w:rPr>
        <w:t xml:space="preserve"> </w:t>
      </w:r>
      <w:r>
        <w:rPr>
          <w:color w:val="1A1A11"/>
        </w:rPr>
        <w:t>not</w:t>
      </w:r>
      <w:r>
        <w:rPr>
          <w:color w:val="1A1A11"/>
          <w:spacing w:val="21"/>
        </w:rPr>
        <w:t xml:space="preserve"> </w:t>
      </w:r>
      <w:r>
        <w:rPr>
          <w:color w:val="1A1A11"/>
        </w:rPr>
        <w:t>engaged</w:t>
      </w:r>
      <w:r>
        <w:rPr>
          <w:color w:val="1A1A11"/>
          <w:spacing w:val="40"/>
        </w:rPr>
        <w:t xml:space="preserve"> </w:t>
      </w:r>
      <w:r>
        <w:rPr>
          <w:color w:val="1A1A11"/>
        </w:rPr>
        <w:t>in such</w:t>
      </w:r>
      <w:r>
        <w:rPr>
          <w:color w:val="1A1A11"/>
          <w:spacing w:val="29"/>
        </w:rPr>
        <w:t xml:space="preserve"> </w:t>
      </w:r>
      <w:r>
        <w:rPr>
          <w:color w:val="1A1A11"/>
        </w:rPr>
        <w:t>practices,</w:t>
      </w:r>
      <w:r>
        <w:rPr>
          <w:color w:val="1A1A11"/>
          <w:spacing w:val="30"/>
        </w:rPr>
        <w:t xml:space="preserve"> </w:t>
      </w:r>
      <w:r>
        <w:rPr>
          <w:color w:val="1A1A11"/>
        </w:rPr>
        <w:t>I</w:t>
      </w:r>
      <w:r>
        <w:rPr>
          <w:color w:val="1A1A11"/>
          <w:spacing w:val="22"/>
        </w:rPr>
        <w:t xml:space="preserve"> </w:t>
      </w:r>
      <w:r>
        <w:rPr>
          <w:color w:val="2B2A1C"/>
        </w:rPr>
        <w:t>would</w:t>
      </w:r>
      <w:r>
        <w:rPr>
          <w:color w:val="2B2A1C"/>
          <w:spacing w:val="33"/>
        </w:rPr>
        <w:t xml:space="preserve"> </w:t>
      </w:r>
      <w:r>
        <w:rPr>
          <w:color w:val="1A1A11"/>
        </w:rPr>
        <w:t>appreciate</w:t>
      </w:r>
      <w:r>
        <w:rPr>
          <w:color w:val="1A1A11"/>
          <w:spacing w:val="31"/>
        </w:rPr>
        <w:t xml:space="preserve"> </w:t>
      </w:r>
      <w:r>
        <w:rPr>
          <w:color w:val="1A1A11"/>
        </w:rPr>
        <w:t>written</w:t>
      </w:r>
      <w:r>
        <w:rPr>
          <w:color w:val="1A1A11"/>
          <w:spacing w:val="33"/>
        </w:rPr>
        <w:t xml:space="preserve"> </w:t>
      </w:r>
      <w:r>
        <w:rPr>
          <w:color w:val="1A1A11"/>
        </w:rPr>
        <w:t>confirmation</w:t>
      </w:r>
      <w:r>
        <w:rPr>
          <w:color w:val="1A1A11"/>
          <w:spacing w:val="40"/>
        </w:rPr>
        <w:t xml:space="preserve"> </w:t>
      </w:r>
      <w:r>
        <w:rPr>
          <w:color w:val="1A1A11"/>
        </w:rPr>
        <w:t>to that effect.</w:t>
      </w:r>
    </w:p>
    <w:p w14:paraId="0A37B2E1" w14:textId="77777777" w:rsidR="0017223E" w:rsidRDefault="0017223E" w:rsidP="0017223E">
      <w:r>
        <w:t>In terms of section 18 of the Act, I am refusing to confirm or deny whether the information sought exists or is held by Police Scotland.  Section 18 applies where the following two conditions are met:</w:t>
      </w:r>
    </w:p>
    <w:p w14:paraId="15D625C7" w14:textId="77777777" w:rsidR="0017223E" w:rsidRDefault="0017223E" w:rsidP="0017223E">
      <w:pPr>
        <w:pStyle w:val="ListParagraph"/>
        <w:numPr>
          <w:ilvl w:val="0"/>
          <w:numId w:val="4"/>
        </w:numPr>
      </w:pPr>
      <w:r>
        <w:t>It would be contrary to the public interest to reveal whether the information is held.</w:t>
      </w:r>
    </w:p>
    <w:p w14:paraId="0DC7E38D" w14:textId="628D3341" w:rsidR="000B3007" w:rsidRDefault="0017223E" w:rsidP="000B3007">
      <w:pPr>
        <w:pStyle w:val="ListParagraph"/>
        <w:ind w:left="357"/>
        <w:contextualSpacing w:val="0"/>
      </w:pPr>
      <w:r>
        <w:t xml:space="preserve">Whilst we accept that doing so would provide transparency and </w:t>
      </w:r>
      <w:r w:rsidR="000B3007" w:rsidRPr="00F53555">
        <w:rPr>
          <w:bCs/>
        </w:rPr>
        <w:t>contribute to the public debate surrounding the application of these measures</w:t>
      </w:r>
      <w:r>
        <w:t xml:space="preserve">, the overwhelming public interest lies in </w:t>
      </w:r>
      <w:r w:rsidR="000B3007">
        <w:t>protecting the integrity of investigative techniques.</w:t>
      </w:r>
    </w:p>
    <w:p w14:paraId="226739E5" w14:textId="31F7E2E3" w:rsidR="0017223E" w:rsidRPr="004E7024" w:rsidRDefault="0017223E" w:rsidP="00BA629D">
      <w:pPr>
        <w:rPr>
          <w:rFonts w:eastAsiaTheme="majorEastAsia" w:cstheme="majorBidi"/>
          <w:bCs/>
          <w:color w:val="000000" w:themeColor="text1"/>
          <w:szCs w:val="26"/>
        </w:rPr>
      </w:pPr>
      <w:r>
        <w:t>If the information was held, it would be exempt from disclosure.  In this instance, the following exemptions would apply:</w:t>
      </w:r>
    </w:p>
    <w:p w14:paraId="4DEAA231" w14:textId="603BB789" w:rsidR="00BA629D" w:rsidRPr="003C221E" w:rsidRDefault="00463683" w:rsidP="00BA629D">
      <w:r w:rsidRPr="00463683">
        <w:t xml:space="preserve">Section </w:t>
      </w:r>
      <w:r w:rsidR="00BA629D" w:rsidRPr="00BA629D">
        <w:t>31</w:t>
      </w:r>
      <w:r w:rsidRPr="00463683">
        <w:t>(</w:t>
      </w:r>
      <w:r w:rsidR="00BA629D" w:rsidRPr="00BA629D">
        <w:t>1</w:t>
      </w:r>
      <w:r w:rsidRPr="00463683">
        <w:t>) - National Security</w:t>
      </w:r>
      <w:r w:rsidRPr="00463683">
        <w:br/>
        <w:t>Section 3</w:t>
      </w:r>
      <w:r w:rsidRPr="00BA629D">
        <w:t>4</w:t>
      </w:r>
      <w:r w:rsidR="00E748F5">
        <w:t>(1)(b)</w:t>
      </w:r>
      <w:r w:rsidRPr="00463683">
        <w:t xml:space="preserve"> - Investigations</w:t>
      </w:r>
      <w:r w:rsidRPr="00463683">
        <w:br/>
        <w:t>Section 3</w:t>
      </w:r>
      <w:r w:rsidRPr="00BA629D">
        <w:t>5(a)&amp;(b)</w:t>
      </w:r>
      <w:r w:rsidRPr="00463683">
        <w:t xml:space="preserve"> - Law Enforcement</w:t>
      </w:r>
      <w:r w:rsidRPr="00463683">
        <w:br/>
        <w:t xml:space="preserve">Section </w:t>
      </w:r>
      <w:r w:rsidR="00BA629D" w:rsidRPr="00BA629D">
        <w:t>38(1)(b)</w:t>
      </w:r>
      <w:r w:rsidRPr="00463683">
        <w:t xml:space="preserve"> - Personal Informati</w:t>
      </w:r>
      <w:r w:rsidR="00BA629D">
        <w:t>on</w:t>
      </w:r>
      <w:r w:rsidR="00E748F5">
        <w:br/>
      </w:r>
      <w:r w:rsidR="00BA629D" w:rsidRPr="003C221E">
        <w:t>Section 39(1) - Health and Safety</w:t>
      </w:r>
    </w:p>
    <w:p w14:paraId="2F961D62" w14:textId="77777777" w:rsidR="00881688" w:rsidRPr="00F53555" w:rsidRDefault="00881688" w:rsidP="00881688">
      <w:pPr>
        <w:tabs>
          <w:tab w:val="left" w:pos="5400"/>
        </w:tabs>
        <w:jc w:val="both"/>
        <w:outlineLvl w:val="0"/>
        <w:rPr>
          <w:bCs/>
        </w:rPr>
      </w:pPr>
      <w:r w:rsidRPr="00F53555">
        <w:lastRenderedPageBreak/>
        <w:t xml:space="preserve">It is acknowledged that matters relating to the use of these measures are of public </w:t>
      </w:r>
      <w:r w:rsidRPr="00F53555">
        <w:rPr>
          <w:bCs/>
        </w:rPr>
        <w:t xml:space="preserve">interest and such awareness may favour confirming or otherwise the existence of further information of relevance, as it would contribute to the public debate surrounding the issue.  </w:t>
      </w:r>
    </w:p>
    <w:p w14:paraId="59537D6B" w14:textId="6DFCD989" w:rsidR="00881688" w:rsidRPr="00F53555" w:rsidRDefault="00881688" w:rsidP="00881688">
      <w:pPr>
        <w:tabs>
          <w:tab w:val="left" w:pos="5400"/>
        </w:tabs>
        <w:jc w:val="both"/>
        <w:outlineLvl w:val="0"/>
      </w:pPr>
      <w:r w:rsidRPr="00F53555">
        <w:t>However</w:t>
      </w:r>
      <w:r w:rsidR="00E748F5">
        <w:t>,</w:t>
      </w:r>
      <w:r w:rsidRPr="00F53555">
        <w:t xml:space="preserve"> I would argue that the integrity of any protective measures would be significantly undermined if we were to confirm the extent of information held, through FOI or otherwise, and any such disclosure would substantially prejudice the ability of Police Scotland with regards the prevention and detection of crime and the apprehension or prosecution of offenders.  </w:t>
      </w:r>
    </w:p>
    <w:p w14:paraId="47981053" w14:textId="77777777" w:rsidR="00881688" w:rsidRPr="00F53555" w:rsidRDefault="00881688" w:rsidP="00881688">
      <w:pPr>
        <w:tabs>
          <w:tab w:val="left" w:pos="5400"/>
        </w:tabs>
        <w:jc w:val="both"/>
        <w:outlineLvl w:val="0"/>
      </w:pPr>
      <w:r w:rsidRPr="00F53555">
        <w:t>The key test when considering where the balance of public interest lies is to establish whether, in all the circumstances of the request, the public interest in confirming or denying the information is held is not outweighed by maintaining the exemption(s).</w:t>
      </w:r>
      <w:r w:rsidRPr="00F53555">
        <w:rPr>
          <w:bCs/>
        </w:rPr>
        <w:t xml:space="preserve"> </w:t>
      </w:r>
    </w:p>
    <w:p w14:paraId="1C39904C" w14:textId="77777777" w:rsidR="00881688" w:rsidRPr="00F53555" w:rsidRDefault="00881688" w:rsidP="00881688">
      <w:pPr>
        <w:tabs>
          <w:tab w:val="left" w:pos="5400"/>
        </w:tabs>
        <w:jc w:val="both"/>
        <w:outlineLvl w:val="0"/>
      </w:pPr>
      <w:r w:rsidRPr="00F53555">
        <w:rPr>
          <w:bCs/>
        </w:rPr>
        <w:t xml:space="preserve">Although I consider that public awareness would favour a disclosure as it would contribute to the public debate surrounding the application of these measures, we must ensure that the </w:t>
      </w:r>
      <w:r>
        <w:rPr>
          <w:bCs/>
        </w:rPr>
        <w:t>integrity of the investigative techniques used is not in any way undermined</w:t>
      </w:r>
      <w:r w:rsidRPr="00F53555">
        <w:t>.</w:t>
      </w:r>
    </w:p>
    <w:p w14:paraId="1EFBC5D2" w14:textId="44D22911" w:rsidR="00881688" w:rsidRDefault="00881688" w:rsidP="00881688">
      <w:pPr>
        <w:tabs>
          <w:tab w:val="left" w:pos="5400"/>
        </w:tabs>
        <w:jc w:val="both"/>
        <w:outlineLvl w:val="0"/>
      </w:pPr>
      <w:r w:rsidRPr="00F53555">
        <w:t>In conclusion, it simply cannot be in the public interest for Police Scotland or any pol</w:t>
      </w:r>
      <w:r>
        <w:t>ice force to confirm whether activity of this nature is taking place</w:t>
      </w:r>
      <w:r w:rsidR="00082896">
        <w:t>.</w:t>
      </w:r>
    </w:p>
    <w:p w14:paraId="3B4E537E" w14:textId="77777777" w:rsidR="00881688" w:rsidRPr="00F53555" w:rsidRDefault="00881688" w:rsidP="00881688">
      <w:pPr>
        <w:tabs>
          <w:tab w:val="left" w:pos="5400"/>
        </w:tabs>
        <w:jc w:val="both"/>
        <w:outlineLvl w:val="0"/>
      </w:pPr>
      <w:r>
        <w:t xml:space="preserve">To do so would be of significant intelligence value to criminals who could determine from the data </w:t>
      </w:r>
      <w:proofErr w:type="gramStart"/>
      <w:r>
        <w:t>whether or not</w:t>
      </w:r>
      <w:proofErr w:type="gramEnd"/>
      <w:r>
        <w:t xml:space="preserve"> their activities at a particular time were subject to these measures by Police Scotland.</w:t>
      </w:r>
    </w:p>
    <w:p w14:paraId="79FA4C4F" w14:textId="77777777" w:rsidR="00881688" w:rsidRPr="00F53555" w:rsidRDefault="00881688" w:rsidP="00881688">
      <w:pPr>
        <w:tabs>
          <w:tab w:val="left" w:pos="5400"/>
        </w:tabs>
        <w:jc w:val="both"/>
        <w:outlineLvl w:val="0"/>
      </w:pPr>
      <w:r w:rsidRPr="00F53555">
        <w:t xml:space="preserve">This explanation should not be taken as indicative or conclusive evidence that the information you have requested does or does not exist. </w:t>
      </w:r>
    </w:p>
    <w:p w14:paraId="34BDABBE" w14:textId="285C8798" w:rsidR="00496A08" w:rsidRPr="00881688" w:rsidRDefault="00496A08" w:rsidP="00793DD5">
      <w:pPr>
        <w:rPr>
          <w:rFonts w:eastAsiaTheme="majorEastAsia" w:cstheme="majorBidi"/>
          <w:b/>
          <w:color w:val="000000" w:themeColor="text1"/>
          <w:szCs w:val="26"/>
        </w:rPr>
      </w:pPr>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w:t>
      </w:r>
      <w:proofErr w:type="spellStart"/>
      <w:r w:rsidRPr="007C470A">
        <w:t>Dalmarnock</w:t>
      </w:r>
      <w:proofErr w:type="spellEnd"/>
      <w:r w:rsidRPr="007C470A">
        <w:t>,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6C7380"/>
    <w:multiLevelType w:val="hybridMultilevel"/>
    <w:tmpl w:val="97589E96"/>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61F604B"/>
    <w:multiLevelType w:val="hybridMultilevel"/>
    <w:tmpl w:val="943AECD8"/>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6630D80"/>
    <w:multiLevelType w:val="hybridMultilevel"/>
    <w:tmpl w:val="1C7C35C0"/>
    <w:lvl w:ilvl="0" w:tplc="67164456">
      <w:start w:val="1"/>
      <w:numFmt w:val="decimal"/>
      <w:lvlText w:val="%1."/>
      <w:lvlJc w:val="left"/>
      <w:pPr>
        <w:ind w:left="1610" w:hanging="368"/>
      </w:pPr>
      <w:rPr>
        <w:rFonts w:ascii="Times New Roman" w:eastAsia="Times New Roman" w:hAnsi="Times New Roman" w:cs="Times New Roman" w:hint="default"/>
        <w:b w:val="0"/>
        <w:bCs w:val="0"/>
        <w:i w:val="0"/>
        <w:iCs w:val="0"/>
        <w:color w:val="181611"/>
        <w:spacing w:val="0"/>
        <w:w w:val="105"/>
        <w:sz w:val="24"/>
        <w:szCs w:val="24"/>
        <w:lang w:val="en-US" w:eastAsia="en-US" w:bidi="ar-SA"/>
      </w:rPr>
    </w:lvl>
    <w:lvl w:ilvl="1" w:tplc="13E46B4E">
      <w:numFmt w:val="bullet"/>
      <w:lvlText w:val="•"/>
      <w:lvlJc w:val="left"/>
      <w:pPr>
        <w:ind w:left="2596" w:hanging="368"/>
      </w:pPr>
      <w:rPr>
        <w:rFonts w:hint="default"/>
        <w:lang w:val="en-US" w:eastAsia="en-US" w:bidi="ar-SA"/>
      </w:rPr>
    </w:lvl>
    <w:lvl w:ilvl="2" w:tplc="05108012">
      <w:numFmt w:val="bullet"/>
      <w:lvlText w:val="•"/>
      <w:lvlJc w:val="left"/>
      <w:pPr>
        <w:ind w:left="3572" w:hanging="368"/>
      </w:pPr>
      <w:rPr>
        <w:rFonts w:hint="default"/>
        <w:lang w:val="en-US" w:eastAsia="en-US" w:bidi="ar-SA"/>
      </w:rPr>
    </w:lvl>
    <w:lvl w:ilvl="3" w:tplc="C2DAD394">
      <w:numFmt w:val="bullet"/>
      <w:lvlText w:val="•"/>
      <w:lvlJc w:val="left"/>
      <w:pPr>
        <w:ind w:left="4549" w:hanging="368"/>
      </w:pPr>
      <w:rPr>
        <w:rFonts w:hint="default"/>
        <w:lang w:val="en-US" w:eastAsia="en-US" w:bidi="ar-SA"/>
      </w:rPr>
    </w:lvl>
    <w:lvl w:ilvl="4" w:tplc="6550165C">
      <w:numFmt w:val="bullet"/>
      <w:lvlText w:val="•"/>
      <w:lvlJc w:val="left"/>
      <w:pPr>
        <w:ind w:left="5525" w:hanging="368"/>
      </w:pPr>
      <w:rPr>
        <w:rFonts w:hint="default"/>
        <w:lang w:val="en-US" w:eastAsia="en-US" w:bidi="ar-SA"/>
      </w:rPr>
    </w:lvl>
    <w:lvl w:ilvl="5" w:tplc="37E4AAF0">
      <w:numFmt w:val="bullet"/>
      <w:lvlText w:val="•"/>
      <w:lvlJc w:val="left"/>
      <w:pPr>
        <w:ind w:left="6502" w:hanging="368"/>
      </w:pPr>
      <w:rPr>
        <w:rFonts w:hint="default"/>
        <w:lang w:val="en-US" w:eastAsia="en-US" w:bidi="ar-SA"/>
      </w:rPr>
    </w:lvl>
    <w:lvl w:ilvl="6" w:tplc="2CA03ED2">
      <w:numFmt w:val="bullet"/>
      <w:lvlText w:val="•"/>
      <w:lvlJc w:val="left"/>
      <w:pPr>
        <w:ind w:left="7478" w:hanging="368"/>
      </w:pPr>
      <w:rPr>
        <w:rFonts w:hint="default"/>
        <w:lang w:val="en-US" w:eastAsia="en-US" w:bidi="ar-SA"/>
      </w:rPr>
    </w:lvl>
    <w:lvl w:ilvl="7" w:tplc="836E7FFC">
      <w:numFmt w:val="bullet"/>
      <w:lvlText w:val="•"/>
      <w:lvlJc w:val="left"/>
      <w:pPr>
        <w:ind w:left="8454" w:hanging="368"/>
      </w:pPr>
      <w:rPr>
        <w:rFonts w:hint="default"/>
        <w:lang w:val="en-US" w:eastAsia="en-US" w:bidi="ar-SA"/>
      </w:rPr>
    </w:lvl>
    <w:lvl w:ilvl="8" w:tplc="5E72B574">
      <w:numFmt w:val="bullet"/>
      <w:lvlText w:val="•"/>
      <w:lvlJc w:val="left"/>
      <w:pPr>
        <w:ind w:left="9431" w:hanging="368"/>
      </w:pPr>
      <w:rPr>
        <w:rFonts w:hint="default"/>
        <w:lang w:val="en-US" w:eastAsia="en-US" w:bidi="ar-SA"/>
      </w:rPr>
    </w:lvl>
  </w:abstractNum>
  <w:abstractNum w:abstractNumId="3" w15:restartNumberingAfterBreak="0">
    <w:nsid w:val="768F22F1"/>
    <w:multiLevelType w:val="hybridMultilevel"/>
    <w:tmpl w:val="547CB2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4"/>
  </w:num>
  <w:num w:numId="2" w16cid:durableId="1075662451">
    <w:abstractNumId w:val="2"/>
  </w:num>
  <w:num w:numId="3" w16cid:durableId="2144275153">
    <w:abstractNumId w:val="3"/>
  </w:num>
  <w:num w:numId="4" w16cid:durableId="1921524402">
    <w:abstractNumId w:val="0"/>
  </w:num>
  <w:num w:numId="5" w16cid:durableId="1275358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82896"/>
    <w:rsid w:val="00090F3B"/>
    <w:rsid w:val="000B3007"/>
    <w:rsid w:val="000E2F19"/>
    <w:rsid w:val="000E6526"/>
    <w:rsid w:val="00141533"/>
    <w:rsid w:val="0015737E"/>
    <w:rsid w:val="00167528"/>
    <w:rsid w:val="0017223E"/>
    <w:rsid w:val="00195CC4"/>
    <w:rsid w:val="00207326"/>
    <w:rsid w:val="00253DF6"/>
    <w:rsid w:val="00255F1E"/>
    <w:rsid w:val="00274110"/>
    <w:rsid w:val="0036503B"/>
    <w:rsid w:val="00376A4A"/>
    <w:rsid w:val="003D6D03"/>
    <w:rsid w:val="003E12CA"/>
    <w:rsid w:val="004010DC"/>
    <w:rsid w:val="004341F0"/>
    <w:rsid w:val="00456324"/>
    <w:rsid w:val="00463683"/>
    <w:rsid w:val="00475460"/>
    <w:rsid w:val="00490317"/>
    <w:rsid w:val="00491644"/>
    <w:rsid w:val="00496A08"/>
    <w:rsid w:val="004E1605"/>
    <w:rsid w:val="004F653C"/>
    <w:rsid w:val="00540A52"/>
    <w:rsid w:val="0054557F"/>
    <w:rsid w:val="00557306"/>
    <w:rsid w:val="005637BF"/>
    <w:rsid w:val="005A2FA8"/>
    <w:rsid w:val="00645CFA"/>
    <w:rsid w:val="00685219"/>
    <w:rsid w:val="006D5799"/>
    <w:rsid w:val="007440EA"/>
    <w:rsid w:val="00750D83"/>
    <w:rsid w:val="00785DBC"/>
    <w:rsid w:val="00793DD5"/>
    <w:rsid w:val="007D55F6"/>
    <w:rsid w:val="007F490F"/>
    <w:rsid w:val="0086779C"/>
    <w:rsid w:val="00874BFD"/>
    <w:rsid w:val="00881688"/>
    <w:rsid w:val="008964EF"/>
    <w:rsid w:val="00915E01"/>
    <w:rsid w:val="009631A4"/>
    <w:rsid w:val="00977296"/>
    <w:rsid w:val="00A25E93"/>
    <w:rsid w:val="00A320FF"/>
    <w:rsid w:val="00A70AC0"/>
    <w:rsid w:val="00A84EA9"/>
    <w:rsid w:val="00AA13BD"/>
    <w:rsid w:val="00AC443C"/>
    <w:rsid w:val="00B033D6"/>
    <w:rsid w:val="00B11A55"/>
    <w:rsid w:val="00B17211"/>
    <w:rsid w:val="00B461B2"/>
    <w:rsid w:val="00B654B6"/>
    <w:rsid w:val="00B71B3C"/>
    <w:rsid w:val="00B979D8"/>
    <w:rsid w:val="00BA629D"/>
    <w:rsid w:val="00BC389E"/>
    <w:rsid w:val="00BD7883"/>
    <w:rsid w:val="00BE1888"/>
    <w:rsid w:val="00BF6B81"/>
    <w:rsid w:val="00C077A8"/>
    <w:rsid w:val="00C14FF4"/>
    <w:rsid w:val="00C1679F"/>
    <w:rsid w:val="00C606A2"/>
    <w:rsid w:val="00C63872"/>
    <w:rsid w:val="00C84948"/>
    <w:rsid w:val="00C94ED8"/>
    <w:rsid w:val="00CF1111"/>
    <w:rsid w:val="00D05706"/>
    <w:rsid w:val="00D27DC5"/>
    <w:rsid w:val="00D47E36"/>
    <w:rsid w:val="00E55D79"/>
    <w:rsid w:val="00E748F5"/>
    <w:rsid w:val="00E957D6"/>
    <w:rsid w:val="00EE2373"/>
    <w:rsid w:val="00EF0FBB"/>
    <w:rsid w:val="00EF4761"/>
    <w:rsid w:val="00F31D75"/>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BodyText">
    <w:name w:val="Body Text"/>
    <w:basedOn w:val="Normal"/>
    <w:link w:val="BodyTextChar"/>
    <w:uiPriority w:val="1"/>
    <w:qFormat/>
    <w:rsid w:val="00B979D8"/>
    <w:pPr>
      <w:widowControl w:val="0"/>
      <w:autoSpaceDE w:val="0"/>
      <w:autoSpaceDN w:val="0"/>
      <w:spacing w:before="0"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B979D8"/>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084661">
      <w:bodyDiv w:val="1"/>
      <w:marLeft w:val="0"/>
      <w:marRight w:val="0"/>
      <w:marTop w:val="0"/>
      <w:marBottom w:val="0"/>
      <w:divBdr>
        <w:top w:val="none" w:sz="0" w:space="0" w:color="auto"/>
        <w:left w:val="none" w:sz="0" w:space="0" w:color="auto"/>
        <w:bottom w:val="none" w:sz="0" w:space="0" w:color="auto"/>
        <w:right w:val="none" w:sz="0" w:space="0" w:color="auto"/>
      </w:divBdr>
    </w:div>
    <w:div w:id="527908892">
      <w:bodyDiv w:val="1"/>
      <w:marLeft w:val="0"/>
      <w:marRight w:val="0"/>
      <w:marTop w:val="0"/>
      <w:marBottom w:val="0"/>
      <w:divBdr>
        <w:top w:val="none" w:sz="0" w:space="0" w:color="auto"/>
        <w:left w:val="none" w:sz="0" w:space="0" w:color="auto"/>
        <w:bottom w:val="none" w:sz="0" w:space="0" w:color="auto"/>
        <w:right w:val="none" w:sz="0" w:space="0" w:color="auto"/>
      </w:divBdr>
    </w:div>
    <w:div w:id="600145697">
      <w:bodyDiv w:val="1"/>
      <w:marLeft w:val="0"/>
      <w:marRight w:val="0"/>
      <w:marTop w:val="0"/>
      <w:marBottom w:val="0"/>
      <w:divBdr>
        <w:top w:val="none" w:sz="0" w:space="0" w:color="auto"/>
        <w:left w:val="none" w:sz="0" w:space="0" w:color="auto"/>
        <w:bottom w:val="none" w:sz="0" w:space="0" w:color="auto"/>
        <w:right w:val="none" w:sz="0" w:space="0" w:color="auto"/>
      </w:divBdr>
    </w:div>
    <w:div w:id="1678146637">
      <w:bodyDiv w:val="1"/>
      <w:marLeft w:val="0"/>
      <w:marRight w:val="0"/>
      <w:marTop w:val="0"/>
      <w:marBottom w:val="0"/>
      <w:divBdr>
        <w:top w:val="none" w:sz="0" w:space="0" w:color="auto"/>
        <w:left w:val="none" w:sz="0" w:space="0" w:color="auto"/>
        <w:bottom w:val="none" w:sz="0" w:space="0" w:color="auto"/>
        <w:right w:val="none" w:sz="0" w:space="0" w:color="auto"/>
      </w:divBdr>
    </w:div>
    <w:div w:id="1833641131">
      <w:bodyDiv w:val="1"/>
      <w:marLeft w:val="0"/>
      <w:marRight w:val="0"/>
      <w:marTop w:val="0"/>
      <w:marBottom w:val="0"/>
      <w:divBdr>
        <w:top w:val="none" w:sz="0" w:space="0" w:color="auto"/>
        <w:left w:val="none" w:sz="0" w:space="0" w:color="auto"/>
        <w:bottom w:val="none" w:sz="0" w:space="0" w:color="auto"/>
        <w:right w:val="none" w:sz="0" w:space="0" w:color="auto"/>
      </w:divBdr>
    </w:div>
    <w:div w:id="211454586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Skirving, Kimberley</cp:lastModifiedBy>
  <cp:revision>2</cp:revision>
  <dcterms:created xsi:type="dcterms:W3CDTF">2025-01-31T11:49:00Z</dcterms:created>
  <dcterms:modified xsi:type="dcterms:W3CDTF">2025-01-31T11:49:00Z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