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3120903" w:rsidR="00B17211" w:rsidRPr="00B17211" w:rsidRDefault="00B17211" w:rsidP="007F490F">
            <w:r w:rsidRPr="007F490F">
              <w:rPr>
                <w:rStyle w:val="Heading2Char"/>
              </w:rPr>
              <w:t>Our reference:</w:t>
            </w:r>
            <w:r>
              <w:t xml:space="preserve">  FOI 2</w:t>
            </w:r>
            <w:r w:rsidR="00EF0FBB">
              <w:t>5</w:t>
            </w:r>
            <w:r>
              <w:t>-</w:t>
            </w:r>
            <w:r w:rsidR="001B16D5">
              <w:t>0434</w:t>
            </w:r>
          </w:p>
          <w:p w14:paraId="34BDABA6" w14:textId="6198E6B9" w:rsidR="00B17211" w:rsidRDefault="00456324" w:rsidP="00EE2373">
            <w:r w:rsidRPr="007F490F">
              <w:rPr>
                <w:rStyle w:val="Heading2Char"/>
              </w:rPr>
              <w:t>Respon</w:t>
            </w:r>
            <w:r w:rsidR="007D55F6">
              <w:rPr>
                <w:rStyle w:val="Heading2Char"/>
              </w:rPr>
              <w:t>ded to:</w:t>
            </w:r>
            <w:r w:rsidR="007F490F">
              <w:t xml:space="preserve">  </w:t>
            </w:r>
            <w:r w:rsidR="00AA7D99">
              <w:t>2</w:t>
            </w:r>
            <w:r w:rsidR="001B16D5">
              <w:t>6</w:t>
            </w:r>
            <w:r w:rsidR="006D5799">
              <w:t xml:space="preserve"> </w:t>
            </w:r>
            <w:r w:rsidR="00636B5D">
              <w:t>February</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2780B2F" w14:textId="77777777" w:rsidR="001B16D5" w:rsidRPr="001B16D5" w:rsidRDefault="001B16D5" w:rsidP="001B16D5">
      <w:pPr>
        <w:tabs>
          <w:tab w:val="left" w:pos="5400"/>
        </w:tabs>
      </w:pPr>
      <w:r w:rsidRPr="001B16D5">
        <w:rPr>
          <w:b/>
          <w:bCs/>
        </w:rPr>
        <w:t>In 2024, how many Fixed Penalties or Prosecutions were issued by your force for:</w:t>
      </w:r>
    </w:p>
    <w:p w14:paraId="1CC3812F" w14:textId="336111A5" w:rsidR="001B16D5" w:rsidRPr="001B16D5" w:rsidRDefault="001B16D5" w:rsidP="001B16D5">
      <w:pPr>
        <w:tabs>
          <w:tab w:val="left" w:pos="5400"/>
        </w:tabs>
      </w:pPr>
      <w:r w:rsidRPr="001B16D5">
        <w:t> </w:t>
      </w:r>
      <w:r w:rsidRPr="001B16D5">
        <w:rPr>
          <w:b/>
          <w:bCs/>
        </w:rPr>
        <w:t>Cycling on a footpath or causeway by the side of any road made or set apart for the use or accommodation of foot passengers</w:t>
      </w:r>
    </w:p>
    <w:p w14:paraId="133FB8B4" w14:textId="5946266F" w:rsidR="001B16D5" w:rsidRPr="001B16D5" w:rsidRDefault="001B16D5" w:rsidP="001B16D5">
      <w:pPr>
        <w:tabs>
          <w:tab w:val="left" w:pos="5400"/>
        </w:tabs>
      </w:pPr>
      <w:r w:rsidRPr="001B16D5">
        <w:rPr>
          <w:b/>
          <w:bCs/>
        </w:rPr>
        <w:t>Crossing a stop line when traffic lights are on red</w:t>
      </w:r>
    </w:p>
    <w:p w14:paraId="0E9D8698" w14:textId="3361C944" w:rsidR="001B16D5" w:rsidRPr="001B16D5" w:rsidRDefault="001B16D5" w:rsidP="001B16D5">
      <w:pPr>
        <w:tabs>
          <w:tab w:val="left" w:pos="5400"/>
        </w:tabs>
      </w:pPr>
      <w:r w:rsidRPr="001B16D5">
        <w:rPr>
          <w:b/>
          <w:bCs/>
        </w:rPr>
        <w:t>Failing to stop at a stop line on a road junction</w:t>
      </w:r>
    </w:p>
    <w:p w14:paraId="4C412758" w14:textId="26C534F2" w:rsidR="001B16D5" w:rsidRPr="001B16D5" w:rsidRDefault="001B16D5" w:rsidP="001B16D5">
      <w:pPr>
        <w:tabs>
          <w:tab w:val="left" w:pos="5400"/>
        </w:tabs>
      </w:pPr>
      <w:r w:rsidRPr="001B16D5">
        <w:rPr>
          <w:b/>
          <w:bCs/>
        </w:rPr>
        <w:t>Cycling without appropriate lights between sunset and sunrise</w:t>
      </w:r>
    </w:p>
    <w:p w14:paraId="7A8F48A9" w14:textId="1288FDFB" w:rsidR="001B16D5" w:rsidRPr="001B16D5" w:rsidRDefault="001B16D5" w:rsidP="001B16D5">
      <w:pPr>
        <w:tabs>
          <w:tab w:val="left" w:pos="5400"/>
        </w:tabs>
      </w:pPr>
      <w:r w:rsidRPr="001B16D5">
        <w:rPr>
          <w:b/>
          <w:bCs/>
        </w:rPr>
        <w:t>Cycling without reflectors between sunset and sunrise</w:t>
      </w:r>
    </w:p>
    <w:p w14:paraId="65E37899" w14:textId="50619C0A" w:rsidR="001B16D5" w:rsidRPr="001B16D5" w:rsidRDefault="001B16D5" w:rsidP="001B16D5">
      <w:pPr>
        <w:tabs>
          <w:tab w:val="left" w:pos="5400"/>
        </w:tabs>
      </w:pPr>
      <w:r w:rsidRPr="001B16D5">
        <w:rPr>
          <w:b/>
          <w:bCs/>
        </w:rPr>
        <w:t>Cycling without legal brakes</w:t>
      </w:r>
    </w:p>
    <w:p w14:paraId="62967380" w14:textId="6B8E1E82" w:rsidR="001B16D5" w:rsidRPr="001B16D5" w:rsidRDefault="001B16D5" w:rsidP="001B16D5">
      <w:pPr>
        <w:tabs>
          <w:tab w:val="left" w:pos="5400"/>
        </w:tabs>
      </w:pPr>
      <w:r w:rsidRPr="001B16D5">
        <w:rPr>
          <w:b/>
          <w:bCs/>
        </w:rPr>
        <w:t>Cycling while under the influence of alcohol or drugs</w:t>
      </w:r>
    </w:p>
    <w:p w14:paraId="3A934089" w14:textId="258A99EB" w:rsidR="001B16D5" w:rsidRPr="001B16D5" w:rsidRDefault="001B16D5" w:rsidP="001B16D5">
      <w:pPr>
        <w:tabs>
          <w:tab w:val="left" w:pos="5400"/>
        </w:tabs>
      </w:pPr>
      <w:r w:rsidRPr="001B16D5">
        <w:t>I can confirm that there are no Conditional Offer of Fixed Penalties for:</w:t>
      </w:r>
    </w:p>
    <w:p w14:paraId="3E1F98EB" w14:textId="77777777" w:rsidR="001B16D5" w:rsidRPr="001B16D5" w:rsidRDefault="001B16D5" w:rsidP="001B16D5">
      <w:pPr>
        <w:tabs>
          <w:tab w:val="left" w:pos="5400"/>
        </w:tabs>
      </w:pPr>
      <w:r w:rsidRPr="001B16D5">
        <w:t>- Dangerously riding a bicycle or tricycle</w:t>
      </w:r>
      <w:r w:rsidRPr="001B16D5">
        <w:br/>
        <w:t>- Carelessly or inconsiderately riding a bicycle or tricycle</w:t>
      </w:r>
      <w:r w:rsidRPr="001B16D5">
        <w:br/>
        <w:t>- Drunk when riding a bicycle</w:t>
      </w:r>
    </w:p>
    <w:p w14:paraId="34F84571" w14:textId="5AA6097E" w:rsidR="001B16D5" w:rsidRPr="001B16D5" w:rsidRDefault="001B16D5" w:rsidP="001B16D5">
      <w:pPr>
        <w:tabs>
          <w:tab w:val="left" w:pos="5400"/>
        </w:tabs>
      </w:pPr>
      <w:r>
        <w:t xml:space="preserve">Accordingly, </w:t>
      </w:r>
      <w:r w:rsidRPr="001B16D5">
        <w:t>I can advise that Police Scotland does not hold</w:t>
      </w:r>
      <w:r>
        <w:t xml:space="preserve"> information for the above noted circumstances</w:t>
      </w:r>
      <w:r w:rsidR="000C370F">
        <w:t>.</w:t>
      </w:r>
      <w:r w:rsidR="000C370F" w:rsidRPr="001B16D5">
        <w:t xml:space="preserve"> </w:t>
      </w:r>
      <w:r w:rsidRPr="001B16D5">
        <w:t>In terms of Section 17 of the Act, this letter represents a formal notice that information is not held.</w:t>
      </w:r>
    </w:p>
    <w:p w14:paraId="32CB6C41" w14:textId="77777777" w:rsidR="001B16D5" w:rsidRPr="001B16D5" w:rsidRDefault="001B16D5" w:rsidP="001B16D5">
      <w:pPr>
        <w:tabs>
          <w:tab w:val="left" w:pos="5400"/>
        </w:tabs>
      </w:pPr>
      <w:r w:rsidRPr="001B16D5">
        <w:t>There are Conditional Offer of Fixed Penalty offences linking to pedal cycles:</w:t>
      </w:r>
    </w:p>
    <w:p w14:paraId="70DD7E8F" w14:textId="77777777" w:rsidR="001B16D5" w:rsidRPr="001B16D5" w:rsidRDefault="001B16D5" w:rsidP="001B16D5">
      <w:pPr>
        <w:tabs>
          <w:tab w:val="left" w:pos="5400"/>
        </w:tabs>
      </w:pPr>
      <w:r w:rsidRPr="001B16D5">
        <w:t xml:space="preserve">Sec 36(1) RTA 1988 Not obeying red traffic light (non m/v) – non-endorsable </w:t>
      </w:r>
    </w:p>
    <w:p w14:paraId="7C4D381F" w14:textId="77777777" w:rsidR="001B16D5" w:rsidRPr="001B16D5" w:rsidRDefault="001B16D5" w:rsidP="001B16D5">
      <w:pPr>
        <w:tabs>
          <w:tab w:val="left" w:pos="5400"/>
        </w:tabs>
      </w:pPr>
      <w:r w:rsidRPr="001B16D5">
        <w:t>Sec 36(1) Not obeying white lines (non m/v) – non-endorsable</w:t>
      </w:r>
    </w:p>
    <w:p w14:paraId="396EE6FC" w14:textId="77777777" w:rsidR="001B16D5" w:rsidRPr="001B16D5" w:rsidRDefault="001B16D5" w:rsidP="001B16D5">
      <w:pPr>
        <w:tabs>
          <w:tab w:val="left" w:pos="5400"/>
        </w:tabs>
      </w:pPr>
      <w:r w:rsidRPr="001B16D5">
        <w:t>Sec 36(1) Not obeying stop sign (non m/v) – non-endorsable</w:t>
      </w:r>
    </w:p>
    <w:p w14:paraId="6EA036C6" w14:textId="77777777" w:rsidR="001B16D5" w:rsidRPr="001B16D5" w:rsidRDefault="001B16D5" w:rsidP="001B16D5">
      <w:pPr>
        <w:tabs>
          <w:tab w:val="left" w:pos="5400"/>
        </w:tabs>
      </w:pPr>
      <w:r w:rsidRPr="001B16D5">
        <w:t>Sec 36(1) Not obeying no entry sign (non m/v) – non-endorsable</w:t>
      </w:r>
    </w:p>
    <w:p w14:paraId="136232FB" w14:textId="77777777" w:rsidR="001B16D5" w:rsidRPr="001B16D5" w:rsidRDefault="001B16D5" w:rsidP="001B16D5">
      <w:pPr>
        <w:tabs>
          <w:tab w:val="left" w:pos="5400"/>
        </w:tabs>
      </w:pPr>
      <w:r w:rsidRPr="001B16D5">
        <w:t>Reg 25 &amp; 26 ZPPC Regs 1997 Pedestrian crossing offences (non m/v) – non-endorsable</w:t>
      </w:r>
    </w:p>
    <w:p w14:paraId="394A9423" w14:textId="77777777" w:rsidR="001B16D5" w:rsidRPr="001B16D5" w:rsidRDefault="001B16D5" w:rsidP="001B16D5">
      <w:pPr>
        <w:tabs>
          <w:tab w:val="left" w:pos="5400"/>
        </w:tabs>
      </w:pPr>
      <w:r w:rsidRPr="001B16D5">
        <w:lastRenderedPageBreak/>
        <w:t>Sec 35 or 163 RTA 1988 Fail to stop when required by PC in uniform – non-endorsable</w:t>
      </w:r>
    </w:p>
    <w:p w14:paraId="54B421C9" w14:textId="3551AEBC" w:rsidR="001B16D5" w:rsidRPr="001B16D5" w:rsidRDefault="001B16D5" w:rsidP="001B16D5">
      <w:pPr>
        <w:tabs>
          <w:tab w:val="left" w:pos="5400"/>
        </w:tabs>
      </w:pPr>
      <w:r>
        <w:t xml:space="preserve">In relation to extracting any information in relation to the above noted offences, </w:t>
      </w:r>
      <w:bookmarkStart w:id="0" w:name="_MailAutoSig"/>
      <w:r>
        <w:t>i</w:t>
      </w:r>
      <w:r w:rsidRPr="001B16D5">
        <w:t>n accordance with Sections 12(1) (Excessive cost of compliance) and 16(4) (Refusal of request) of the Freedom of Information (Scotland) Act 2002 (the Act), this letter represents a Refusal Notice.</w:t>
      </w:r>
    </w:p>
    <w:p w14:paraId="26499ED5" w14:textId="3A7560B9" w:rsidR="001B16D5" w:rsidRPr="001B16D5" w:rsidRDefault="001B16D5" w:rsidP="001B16D5">
      <w:pPr>
        <w:tabs>
          <w:tab w:val="left" w:pos="5400"/>
        </w:tabs>
      </w:pPr>
      <w:r w:rsidRPr="001B16D5">
        <w:t>By way of explanation,</w:t>
      </w:r>
      <w:r>
        <w:t xml:space="preserve"> </w:t>
      </w:r>
      <w:r w:rsidR="007161EF" w:rsidRPr="001B16D5">
        <w:t>Sec 36</w:t>
      </w:r>
      <w:r w:rsidR="007161EF">
        <w:t xml:space="preserve"> RTA</w:t>
      </w:r>
      <w:r w:rsidR="007161EF" w:rsidRPr="001B16D5">
        <w:t xml:space="preserve"> is a piece of legislation that covers multiple other offences</w:t>
      </w:r>
      <w:r w:rsidR="000C370F">
        <w:t xml:space="preserve">. </w:t>
      </w:r>
      <w:r w:rsidR="007161EF">
        <w:t>I</w:t>
      </w:r>
      <w:r>
        <w:t>nformation to answer your request cannot be electronically extracted and would require all physical records to be examined to establish if it meets your criteria</w:t>
      </w:r>
      <w:r w:rsidR="000C370F">
        <w:t xml:space="preserve">. </w:t>
      </w:r>
      <w:r>
        <w:t>T</w:t>
      </w:r>
      <w:r w:rsidRPr="001B16D5">
        <w:t>his task would take in excess of the 40 hours and £600 prescribed by the Scottish Ministers under the Act.</w:t>
      </w:r>
      <w:bookmarkEnd w:id="0"/>
    </w:p>
    <w:p w14:paraId="302C4D50" w14:textId="665B98C2" w:rsidR="001F7514" w:rsidRPr="001F7514" w:rsidRDefault="001F7514" w:rsidP="001F7514">
      <w:pPr>
        <w:tabs>
          <w:tab w:val="left" w:pos="5400"/>
        </w:tabs>
      </w:pPr>
      <w:r>
        <w:t xml:space="preserve">Finally, and in relation to prosecutions, </w:t>
      </w:r>
      <w:r w:rsidRPr="001F7514">
        <w:t>I can advise that Police Scotland does not hold the requested information</w:t>
      </w:r>
      <w:r w:rsidR="00607F12" w:rsidRPr="001F7514">
        <w:t xml:space="preserve">. </w:t>
      </w:r>
      <w:r w:rsidRPr="001F7514">
        <w:t>In terms of Section 17 of the Act, this letter represents a formal notice that information is not held.</w:t>
      </w:r>
    </w:p>
    <w:p w14:paraId="20F4D069" w14:textId="2A288CCF" w:rsidR="001F7514" w:rsidRPr="001F7514" w:rsidRDefault="001F7514" w:rsidP="001F7514">
      <w:pPr>
        <w:tabs>
          <w:tab w:val="left" w:pos="5400"/>
        </w:tabs>
      </w:pPr>
      <w:r w:rsidRPr="001F7514">
        <w:t>By way of explanation, the role of the police in Scotland, in relation to crimes and offences, is to investigate the circumstances and where sufficient evidence exists to then report the matter to the relevant Procurator Fiscal.</w:t>
      </w:r>
      <w:r>
        <w:t xml:space="preserve"> </w:t>
      </w:r>
      <w:r w:rsidRPr="001F7514">
        <w:t xml:space="preserve">It is a matter for the Procurator Fiscal to decide on and to progress any prosecution through the courts. The disposal in relation to cases reported to the Procurator Fiscal is not routinely passed to the police, therefore, the Service do not hold the information requested in relation to </w:t>
      </w:r>
      <w:r>
        <w:t>prosecutions</w:t>
      </w:r>
      <w:r w:rsidRPr="001F7514">
        <w:t>.</w:t>
      </w:r>
    </w:p>
    <w:p w14:paraId="7BB5CD1D" w14:textId="77777777" w:rsidR="001F7514" w:rsidRPr="001F7514" w:rsidRDefault="001F7514" w:rsidP="001F7514">
      <w:pPr>
        <w:tabs>
          <w:tab w:val="left" w:pos="5400"/>
        </w:tabs>
      </w:pPr>
      <w:r w:rsidRPr="001F7514">
        <w:t>By way of assistance, I have listed below contact details for the Crown Office and Procurator Fiscals Service who may be able to assist you in this matter:</w:t>
      </w:r>
    </w:p>
    <w:p w14:paraId="51214B75" w14:textId="77777777" w:rsidR="001F7514" w:rsidRPr="001F7514" w:rsidRDefault="001F7514" w:rsidP="001F7514">
      <w:pPr>
        <w:tabs>
          <w:tab w:val="left" w:pos="5400"/>
        </w:tabs>
      </w:pPr>
      <w:r w:rsidRPr="001F7514">
        <w:t xml:space="preserve">Crown Office, 25 Chambers Street, Edinburgh, EH1 1LA or via </w:t>
      </w:r>
      <w:hyperlink r:id="rId11" w:history="1">
        <w:r w:rsidRPr="001F7514">
          <w:rPr>
            <w:rStyle w:val="Hyperlink"/>
          </w:rPr>
          <w:t>http://www.copfs.gov.uk/</w:t>
        </w:r>
      </w:hyperlink>
    </w:p>
    <w:p w14:paraId="34BDABBD" w14:textId="0558AA1D"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47633BC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4E15C2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4B6B625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2287A24C"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30246AEF"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7567A24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A7D9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5E81"/>
    <w:rsid w:val="00090F3B"/>
    <w:rsid w:val="000C370F"/>
    <w:rsid w:val="000E2F19"/>
    <w:rsid w:val="000E6526"/>
    <w:rsid w:val="00141533"/>
    <w:rsid w:val="00167528"/>
    <w:rsid w:val="00195CC4"/>
    <w:rsid w:val="001B16D5"/>
    <w:rsid w:val="001F7514"/>
    <w:rsid w:val="00207326"/>
    <w:rsid w:val="0023160B"/>
    <w:rsid w:val="00253DF6"/>
    <w:rsid w:val="00255F1E"/>
    <w:rsid w:val="002B6447"/>
    <w:rsid w:val="0036503B"/>
    <w:rsid w:val="00376A4A"/>
    <w:rsid w:val="003D6D03"/>
    <w:rsid w:val="003E12CA"/>
    <w:rsid w:val="004010DC"/>
    <w:rsid w:val="004341F0"/>
    <w:rsid w:val="00456324"/>
    <w:rsid w:val="00475460"/>
    <w:rsid w:val="00490317"/>
    <w:rsid w:val="00491644"/>
    <w:rsid w:val="00496A08"/>
    <w:rsid w:val="004E1605"/>
    <w:rsid w:val="004F653C"/>
    <w:rsid w:val="00540A52"/>
    <w:rsid w:val="00557306"/>
    <w:rsid w:val="00607F12"/>
    <w:rsid w:val="00636B5D"/>
    <w:rsid w:val="00645CFA"/>
    <w:rsid w:val="00676275"/>
    <w:rsid w:val="00685219"/>
    <w:rsid w:val="006D5799"/>
    <w:rsid w:val="007161EF"/>
    <w:rsid w:val="007440EA"/>
    <w:rsid w:val="00750D83"/>
    <w:rsid w:val="00785DBC"/>
    <w:rsid w:val="00793DD5"/>
    <w:rsid w:val="007D55F6"/>
    <w:rsid w:val="007F490F"/>
    <w:rsid w:val="0086779C"/>
    <w:rsid w:val="00874BFD"/>
    <w:rsid w:val="008964EF"/>
    <w:rsid w:val="0089744F"/>
    <w:rsid w:val="00915E01"/>
    <w:rsid w:val="009631A4"/>
    <w:rsid w:val="00977296"/>
    <w:rsid w:val="00A25E93"/>
    <w:rsid w:val="00A320FF"/>
    <w:rsid w:val="00A70AC0"/>
    <w:rsid w:val="00A84EA9"/>
    <w:rsid w:val="00AA7D99"/>
    <w:rsid w:val="00AC443C"/>
    <w:rsid w:val="00B033D6"/>
    <w:rsid w:val="00B11A55"/>
    <w:rsid w:val="00B17211"/>
    <w:rsid w:val="00B461B2"/>
    <w:rsid w:val="00B654B6"/>
    <w:rsid w:val="00B71B3C"/>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F5868"/>
    <w:rsid w:val="00E55D79"/>
    <w:rsid w:val="00EE2373"/>
    <w:rsid w:val="00EF0FBB"/>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1F75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2850322">
      <w:bodyDiv w:val="1"/>
      <w:marLeft w:val="0"/>
      <w:marRight w:val="0"/>
      <w:marTop w:val="0"/>
      <w:marBottom w:val="0"/>
      <w:divBdr>
        <w:top w:val="none" w:sz="0" w:space="0" w:color="auto"/>
        <w:left w:val="none" w:sz="0" w:space="0" w:color="auto"/>
        <w:bottom w:val="none" w:sz="0" w:space="0" w:color="auto"/>
        <w:right w:val="none" w:sz="0" w:space="0" w:color="auto"/>
      </w:divBdr>
    </w:div>
    <w:div w:id="771971699">
      <w:bodyDiv w:val="1"/>
      <w:marLeft w:val="0"/>
      <w:marRight w:val="0"/>
      <w:marTop w:val="0"/>
      <w:marBottom w:val="0"/>
      <w:divBdr>
        <w:top w:val="none" w:sz="0" w:space="0" w:color="auto"/>
        <w:left w:val="none" w:sz="0" w:space="0" w:color="auto"/>
        <w:bottom w:val="none" w:sz="0" w:space="0" w:color="auto"/>
        <w:right w:val="none" w:sz="0" w:space="0" w:color="auto"/>
      </w:divBdr>
    </w:div>
    <w:div w:id="789054237">
      <w:bodyDiv w:val="1"/>
      <w:marLeft w:val="0"/>
      <w:marRight w:val="0"/>
      <w:marTop w:val="0"/>
      <w:marBottom w:val="0"/>
      <w:divBdr>
        <w:top w:val="none" w:sz="0" w:space="0" w:color="auto"/>
        <w:left w:val="none" w:sz="0" w:space="0" w:color="auto"/>
        <w:bottom w:val="none" w:sz="0" w:space="0" w:color="auto"/>
        <w:right w:val="none" w:sz="0" w:space="0" w:color="auto"/>
      </w:divBdr>
    </w:div>
    <w:div w:id="897277430">
      <w:bodyDiv w:val="1"/>
      <w:marLeft w:val="0"/>
      <w:marRight w:val="0"/>
      <w:marTop w:val="0"/>
      <w:marBottom w:val="0"/>
      <w:divBdr>
        <w:top w:val="none" w:sz="0" w:space="0" w:color="auto"/>
        <w:left w:val="none" w:sz="0" w:space="0" w:color="auto"/>
        <w:bottom w:val="none" w:sz="0" w:space="0" w:color="auto"/>
        <w:right w:val="none" w:sz="0" w:space="0" w:color="auto"/>
      </w:divBdr>
    </w:div>
    <w:div w:id="1026444621">
      <w:bodyDiv w:val="1"/>
      <w:marLeft w:val="0"/>
      <w:marRight w:val="0"/>
      <w:marTop w:val="0"/>
      <w:marBottom w:val="0"/>
      <w:divBdr>
        <w:top w:val="none" w:sz="0" w:space="0" w:color="auto"/>
        <w:left w:val="none" w:sz="0" w:space="0" w:color="auto"/>
        <w:bottom w:val="none" w:sz="0" w:space="0" w:color="auto"/>
        <w:right w:val="none" w:sz="0" w:space="0" w:color="auto"/>
      </w:divBdr>
    </w:div>
    <w:div w:id="1071082519">
      <w:bodyDiv w:val="1"/>
      <w:marLeft w:val="0"/>
      <w:marRight w:val="0"/>
      <w:marTop w:val="0"/>
      <w:marBottom w:val="0"/>
      <w:divBdr>
        <w:top w:val="none" w:sz="0" w:space="0" w:color="auto"/>
        <w:left w:val="none" w:sz="0" w:space="0" w:color="auto"/>
        <w:bottom w:val="none" w:sz="0" w:space="0" w:color="auto"/>
        <w:right w:val="none" w:sz="0" w:space="0" w:color="auto"/>
      </w:divBdr>
    </w:div>
    <w:div w:id="1149328250">
      <w:bodyDiv w:val="1"/>
      <w:marLeft w:val="0"/>
      <w:marRight w:val="0"/>
      <w:marTop w:val="0"/>
      <w:marBottom w:val="0"/>
      <w:divBdr>
        <w:top w:val="none" w:sz="0" w:space="0" w:color="auto"/>
        <w:left w:val="none" w:sz="0" w:space="0" w:color="auto"/>
        <w:bottom w:val="none" w:sz="0" w:space="0" w:color="auto"/>
        <w:right w:val="none" w:sz="0" w:space="0" w:color="auto"/>
      </w:divBdr>
    </w:div>
    <w:div w:id="1452359080">
      <w:bodyDiv w:val="1"/>
      <w:marLeft w:val="0"/>
      <w:marRight w:val="0"/>
      <w:marTop w:val="0"/>
      <w:marBottom w:val="0"/>
      <w:divBdr>
        <w:top w:val="none" w:sz="0" w:space="0" w:color="auto"/>
        <w:left w:val="none" w:sz="0" w:space="0" w:color="auto"/>
        <w:bottom w:val="none" w:sz="0" w:space="0" w:color="auto"/>
        <w:right w:val="none" w:sz="0" w:space="0" w:color="auto"/>
      </w:divBdr>
    </w:div>
    <w:div w:id="1654334958">
      <w:bodyDiv w:val="1"/>
      <w:marLeft w:val="0"/>
      <w:marRight w:val="0"/>
      <w:marTop w:val="0"/>
      <w:marBottom w:val="0"/>
      <w:divBdr>
        <w:top w:val="none" w:sz="0" w:space="0" w:color="auto"/>
        <w:left w:val="none" w:sz="0" w:space="0" w:color="auto"/>
        <w:bottom w:val="none" w:sz="0" w:space="0" w:color="auto"/>
        <w:right w:val="none" w:sz="0" w:space="0" w:color="auto"/>
      </w:divBdr>
    </w:div>
    <w:div w:id="1825586351">
      <w:bodyDiv w:val="1"/>
      <w:marLeft w:val="0"/>
      <w:marRight w:val="0"/>
      <w:marTop w:val="0"/>
      <w:marBottom w:val="0"/>
      <w:divBdr>
        <w:top w:val="none" w:sz="0" w:space="0" w:color="auto"/>
        <w:left w:val="none" w:sz="0" w:space="0" w:color="auto"/>
        <w:bottom w:val="none" w:sz="0" w:space="0" w:color="auto"/>
        <w:right w:val="none" w:sz="0" w:space="0" w:color="auto"/>
      </w:divBdr>
    </w:div>
    <w:div w:id="1979069218">
      <w:bodyDiv w:val="1"/>
      <w:marLeft w:val="0"/>
      <w:marRight w:val="0"/>
      <w:marTop w:val="0"/>
      <w:marBottom w:val="0"/>
      <w:divBdr>
        <w:top w:val="none" w:sz="0" w:space="0" w:color="auto"/>
        <w:left w:val="none" w:sz="0" w:space="0" w:color="auto"/>
        <w:bottom w:val="none" w:sz="0" w:space="0" w:color="auto"/>
        <w:right w:val="none" w:sz="0" w:space="0" w:color="auto"/>
      </w:divBdr>
    </w:div>
    <w:div w:id="204710200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foi.scot/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pfs.gov.uk/"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foi.scot"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670</Words>
  <Characters>3787</Characters>
  <DocSecurity>0</DocSecurity>
  <Lines>63</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2024-01-26T13:56:00Z</dcterms:created>
  <dcterms:modified xsi:type="dcterms:W3CDTF">2025-02-26T19:38:00Z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