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28F66D58" w:rsidR="00B17211" w:rsidRPr="00B17211" w:rsidRDefault="00B17211" w:rsidP="007F490F">
            <w:r w:rsidRPr="007F490F">
              <w:rPr>
                <w:rStyle w:val="Heading2Char"/>
              </w:rPr>
              <w:t>Our reference:</w:t>
            </w:r>
            <w:r>
              <w:t xml:space="preserve">  FOI 2</w:t>
            </w:r>
            <w:r w:rsidR="00706E8D">
              <w:t>4</w:t>
            </w:r>
            <w:r w:rsidR="00B834DC">
              <w:t>-</w:t>
            </w:r>
            <w:r w:rsidR="009E697C">
              <w:t>1014</w:t>
            </w:r>
          </w:p>
          <w:p w14:paraId="5BEC4C5F" w14:textId="1C5CA799"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DF1BEB">
              <w:t>May</w:t>
            </w:r>
            <w:r w:rsidR="00354652">
              <w:t xml:space="preserve"> </w:t>
            </w:r>
            <w:r>
              <w:t>202</w:t>
            </w:r>
            <w:r w:rsidR="00706E8D">
              <w:t>4</w:t>
            </w:r>
          </w:p>
        </w:tc>
      </w:tr>
    </w:tbl>
    <w:p w14:paraId="510CC764" w14:textId="77777777" w:rsidR="00246F20" w:rsidRPr="005306D6" w:rsidRDefault="00793DD5" w:rsidP="005306D6">
      <w:pPr>
        <w:jc w:val="both"/>
      </w:pPr>
      <w:r w:rsidRPr="005306D6">
        <w:t xml:space="preserve">Your recent request for information is replicated below, together with </w:t>
      </w:r>
      <w:r w:rsidR="004341F0" w:rsidRPr="005306D6">
        <w:t>our</w:t>
      </w:r>
      <w:r w:rsidRPr="005306D6">
        <w:t xml:space="preserve"> response.</w:t>
      </w:r>
    </w:p>
    <w:p w14:paraId="5C6AFA0D" w14:textId="7E0AE206" w:rsidR="00246F20" w:rsidRPr="005306D6" w:rsidRDefault="009E697C" w:rsidP="005306D6">
      <w:pPr>
        <w:jc w:val="both"/>
        <w:rPr>
          <w:b/>
          <w:bCs/>
          <w:color w:val="000000"/>
        </w:rPr>
      </w:pPr>
      <w:r w:rsidRPr="005306D6">
        <w:rPr>
          <w:b/>
          <w:bCs/>
          <w:color w:val="000000"/>
        </w:rPr>
        <w:t xml:space="preserve">For </w:t>
      </w:r>
      <w:r w:rsidRPr="005306D6">
        <w:rPr>
          <w:b/>
          <w:bCs/>
        </w:rPr>
        <w:t>each year, 2019, 2020, 2021, 2022, 2023 &amp; 2024 to date</w:t>
      </w:r>
      <w:r w:rsidR="00606FB9" w:rsidRPr="005306D6">
        <w:rPr>
          <w:b/>
          <w:bCs/>
        </w:rPr>
        <w:t>,</w:t>
      </w:r>
      <w:r w:rsidR="003B5AA3" w:rsidRPr="005306D6">
        <w:rPr>
          <w:b/>
          <w:bCs/>
        </w:rPr>
        <w:t xml:space="preserve"> please provide Domestic Abuse statistics, </w:t>
      </w:r>
      <w:r w:rsidR="00606FB9" w:rsidRPr="005306D6">
        <w:rPr>
          <w:b/>
          <w:bCs/>
          <w:color w:val="000000"/>
        </w:rPr>
        <w:t xml:space="preserve">including the information </w:t>
      </w:r>
      <w:r w:rsidR="006807FE" w:rsidRPr="005306D6">
        <w:rPr>
          <w:b/>
          <w:bCs/>
          <w:color w:val="000000"/>
        </w:rPr>
        <w:t xml:space="preserve">at a) – e) </w:t>
      </w:r>
      <w:r w:rsidR="00606FB9" w:rsidRPr="005306D6">
        <w:rPr>
          <w:b/>
          <w:bCs/>
          <w:color w:val="000000"/>
        </w:rPr>
        <w:t>where available:</w:t>
      </w:r>
    </w:p>
    <w:p w14:paraId="045DB0D0" w14:textId="1954D8EE" w:rsidR="00A60D97" w:rsidRPr="005306D6" w:rsidRDefault="00D1599B" w:rsidP="005306D6">
      <w:pPr>
        <w:jc w:val="both"/>
      </w:pPr>
      <w:r w:rsidRPr="005306D6">
        <w:t xml:space="preserve">Tackling domestic abuse is a priority for Police Scotland and we are committed to working with our partners to reduce the harm it causes and ultimately eradicate it. Domestic abuse is a despicable and debilitating crime which affects all of our communities and has no respect for ability, age, ethnicity, gender, race, religion or sexual orientation. </w:t>
      </w:r>
    </w:p>
    <w:p w14:paraId="4C790BAB" w14:textId="77777777" w:rsidR="00246F20" w:rsidRPr="005306D6" w:rsidRDefault="00D1599B" w:rsidP="005306D6">
      <w:pPr>
        <w:jc w:val="both"/>
      </w:pPr>
      <w:r w:rsidRPr="005306D6">
        <w:t xml:space="preserve">Police Scotland will not tolerate it. </w:t>
      </w:r>
    </w:p>
    <w:p w14:paraId="53F5D85B" w14:textId="77777777" w:rsidR="00246F20" w:rsidRPr="005306D6" w:rsidRDefault="00D1599B" w:rsidP="005306D6">
      <w:pPr>
        <w:jc w:val="both"/>
      </w:pPr>
      <w:r w:rsidRPr="005306D6">
        <w:t xml:space="preserve">Police Scotland will proactively target perpetrators and support victims to prevent domestic abuse from damaging the lives of victims and their families. </w:t>
      </w:r>
    </w:p>
    <w:p w14:paraId="7E70440C" w14:textId="77777777" w:rsidR="00246F20" w:rsidRPr="005306D6" w:rsidRDefault="00D1599B" w:rsidP="005306D6">
      <w:pPr>
        <w:jc w:val="both"/>
      </w:pPr>
      <w:r w:rsidRPr="005306D6">
        <w:t>Police Scotland defines domestic abuse as:</w:t>
      </w:r>
    </w:p>
    <w:p w14:paraId="5D0A174B" w14:textId="77777777" w:rsidR="00A60D97" w:rsidRPr="005306D6" w:rsidRDefault="00D1599B" w:rsidP="005306D6">
      <w:pPr>
        <w:jc w:val="both"/>
      </w:pPr>
      <w:r w:rsidRPr="005306D6">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w:t>
      </w:r>
    </w:p>
    <w:p w14:paraId="6AF2E59F" w14:textId="6712F33B" w:rsidR="00246F20" w:rsidRPr="005306D6" w:rsidRDefault="00D1599B" w:rsidP="005306D6">
      <w:pPr>
        <w:jc w:val="both"/>
      </w:pPr>
      <w:r w:rsidRPr="005306D6">
        <w:t>The abuse may be committed in the home or elsewhere including online”</w:t>
      </w:r>
      <w:r w:rsidR="00246F20" w:rsidRPr="005306D6">
        <w:t>.</w:t>
      </w:r>
    </w:p>
    <w:p w14:paraId="3DCAAFA8" w14:textId="77777777" w:rsidR="003B5AA3" w:rsidRPr="005306D6" w:rsidRDefault="00D1599B" w:rsidP="005306D6">
      <w:pPr>
        <w:jc w:val="both"/>
      </w:pPr>
      <w:r w:rsidRPr="005306D6">
        <w:t xml:space="preserve">This definition is included in the Joint Protocol between Police Scotland and the Crown Office and Procurator Fiscal Service (COPFS), “In partnership challenging domestic abuse” which is a public document that can be found </w:t>
      </w:r>
      <w:r w:rsidR="003B5AA3" w:rsidRPr="005306D6">
        <w:t>on</w:t>
      </w:r>
      <w:r w:rsidRPr="005306D6">
        <w:t xml:space="preserve"> the Police Scotland website </w:t>
      </w:r>
      <w:r w:rsidR="003B5AA3" w:rsidRPr="005306D6">
        <w:t>at;</w:t>
      </w:r>
    </w:p>
    <w:p w14:paraId="16409AE5" w14:textId="2904F7B3" w:rsidR="006807FE" w:rsidRPr="005306D6" w:rsidRDefault="00087BA6" w:rsidP="005306D6">
      <w:pPr>
        <w:jc w:val="both"/>
      </w:pPr>
      <w:hyperlink r:id="rId8" w:history="1">
        <w:r w:rsidR="00D1599B" w:rsidRPr="005306D6">
          <w:rPr>
            <w:rStyle w:val="Hyperlink"/>
            <w:bCs/>
          </w:rPr>
          <w:t>Police Scotland (scotland.police.uk)</w:t>
        </w:r>
      </w:hyperlink>
      <w:r w:rsidR="00D1599B" w:rsidRPr="005306D6">
        <w:t xml:space="preserve"> </w:t>
      </w:r>
    </w:p>
    <w:p w14:paraId="325FAC06" w14:textId="23C18B1D" w:rsidR="006807FE" w:rsidRPr="005306D6" w:rsidRDefault="00D1599B" w:rsidP="005306D6">
      <w:pPr>
        <w:jc w:val="both"/>
      </w:pPr>
      <w:r w:rsidRPr="005306D6">
        <w:t xml:space="preserve">or </w:t>
      </w:r>
      <w:r w:rsidR="003B5AA3" w:rsidRPr="005306D6">
        <w:t xml:space="preserve">on </w:t>
      </w:r>
      <w:r w:rsidRPr="005306D6">
        <w:t xml:space="preserve">the COPFS website </w:t>
      </w:r>
      <w:r w:rsidR="006807FE" w:rsidRPr="005306D6">
        <w:t>a</w:t>
      </w:r>
      <w:r w:rsidR="003B5AA3" w:rsidRPr="005306D6">
        <w:t>t;</w:t>
      </w:r>
    </w:p>
    <w:p w14:paraId="63A1AFA2" w14:textId="67DA0787" w:rsidR="00246F20" w:rsidRPr="005306D6" w:rsidRDefault="00087BA6" w:rsidP="005306D6">
      <w:pPr>
        <w:jc w:val="both"/>
        <w:rPr>
          <w:rStyle w:val="Hyperlink"/>
          <w:bCs/>
        </w:rPr>
      </w:pPr>
      <w:hyperlink r:id="rId9" w:history="1">
        <w:r w:rsidR="00D1599B" w:rsidRPr="005306D6">
          <w:rPr>
            <w:rStyle w:val="Hyperlink"/>
            <w:bCs/>
          </w:rPr>
          <w:t>Crown Office and Procurator Fiscal Service (copfs.gov.uk)</w:t>
        </w:r>
      </w:hyperlink>
    </w:p>
    <w:p w14:paraId="0FA54FE5" w14:textId="56B097D5" w:rsidR="00C76724" w:rsidRPr="005306D6" w:rsidRDefault="00B26EEF" w:rsidP="005306D6">
      <w:pPr>
        <w:jc w:val="both"/>
      </w:pPr>
      <w:r w:rsidRPr="005306D6">
        <w:t xml:space="preserve">I must also underline that this response is comprised of two separate sets of statistics which are drawn from separate databases. The two data sets are not comparable. </w:t>
      </w:r>
    </w:p>
    <w:p w14:paraId="7365DD07" w14:textId="225886A8" w:rsidR="00C76724" w:rsidRPr="005306D6" w:rsidRDefault="00C76724" w:rsidP="005306D6">
      <w:pPr>
        <w:pStyle w:val="Heading2"/>
        <w:numPr>
          <w:ilvl w:val="0"/>
          <w:numId w:val="7"/>
        </w:numPr>
        <w:jc w:val="both"/>
        <w:rPr>
          <w:rFonts w:eastAsia="Times New Roman" w:cs="Arial"/>
          <w:szCs w:val="24"/>
          <w:lang w:eastAsia="en-GB"/>
        </w:rPr>
      </w:pPr>
      <w:r w:rsidRPr="005306D6">
        <w:rPr>
          <w:rFonts w:eastAsia="Times New Roman" w:cs="Arial"/>
          <w:szCs w:val="24"/>
          <w:lang w:eastAsia="en-GB"/>
        </w:rPr>
        <w:lastRenderedPageBreak/>
        <w:t>How many incidents of domestic violence were reported by the public and recorded during the requested timeframes?</w:t>
      </w:r>
    </w:p>
    <w:p w14:paraId="63036ABB" w14:textId="68B41A05" w:rsidR="00A11B53" w:rsidRPr="005306D6" w:rsidRDefault="00DA4284" w:rsidP="005306D6">
      <w:pPr>
        <w:jc w:val="both"/>
      </w:pPr>
      <w:r w:rsidRPr="005306D6">
        <w:t xml:space="preserve">In Scotland, the term ‘domestic abuse’, rather than ‘domestic violence’ has been adopted to better represent the combination of psychological and physical dimensions of violence to broaden the focus from physical abuse to the ongoing manipulation of power in intimate relationships. </w:t>
      </w:r>
    </w:p>
    <w:p w14:paraId="72B6C477" w14:textId="77777777" w:rsidR="0036127E" w:rsidRDefault="0036127E" w:rsidP="0036127E">
      <w:pPr>
        <w:tabs>
          <w:tab w:val="left" w:pos="5400"/>
        </w:tabs>
      </w:pPr>
      <w:bookmarkStart w:id="0" w:name="_Hlk166594300"/>
      <w:r>
        <w:t>The information sought is held by Police Scotland, but I am refusing to provide it in terms of section 16(1) of the Act on the basis that the section 25(1) exemption applies:</w:t>
      </w:r>
    </w:p>
    <w:p w14:paraId="689BFE0B" w14:textId="77777777" w:rsidR="0036127E" w:rsidRDefault="0036127E" w:rsidP="0036127E">
      <w:pPr>
        <w:tabs>
          <w:tab w:val="left" w:pos="5400"/>
        </w:tabs>
      </w:pPr>
      <w:r>
        <w:t>“Information which the applicant can reasonably obtain other than by requesting it […] is exempt information”.</w:t>
      </w:r>
    </w:p>
    <w:p w14:paraId="6096AE90" w14:textId="2BC3F83D" w:rsidR="00C76724" w:rsidRPr="005306D6" w:rsidRDefault="00336D26" w:rsidP="005306D6">
      <w:pPr>
        <w:jc w:val="both"/>
      </w:pPr>
      <w:r w:rsidRPr="005306D6">
        <w:t xml:space="preserve">This </w:t>
      </w:r>
      <w:r w:rsidR="00E428CE" w:rsidRPr="005306D6">
        <w:t xml:space="preserve">information </w:t>
      </w:r>
      <w:r w:rsidR="00C76724" w:rsidRPr="005306D6">
        <w:t>is</w:t>
      </w:r>
      <w:r w:rsidR="00B26EEF" w:rsidRPr="005306D6">
        <w:t xml:space="preserve"> </w:t>
      </w:r>
      <w:r w:rsidR="00C76724" w:rsidRPr="005306D6">
        <w:t>publicly available</w:t>
      </w:r>
      <w:r w:rsidR="00B26EEF" w:rsidRPr="005306D6">
        <w:t xml:space="preserve"> </w:t>
      </w:r>
      <w:r w:rsidR="00E428CE" w:rsidRPr="005306D6">
        <w:t>(</w:t>
      </w:r>
      <w:r w:rsidR="00B26EEF" w:rsidRPr="005306D6">
        <w:t>by financial year</w:t>
      </w:r>
      <w:r w:rsidR="00E428CE" w:rsidRPr="005306D6">
        <w:t>)</w:t>
      </w:r>
      <w:r w:rsidR="00C76724" w:rsidRPr="005306D6">
        <w:t xml:space="preserve"> via the link</w:t>
      </w:r>
      <w:r w:rsidRPr="005306D6">
        <w:t>s</w:t>
      </w:r>
      <w:r w:rsidR="00C76724" w:rsidRPr="005306D6">
        <w:t xml:space="preserve"> below: </w:t>
      </w:r>
    </w:p>
    <w:p w14:paraId="0FB3ACB2" w14:textId="77777777" w:rsidR="00C76724" w:rsidRPr="005306D6" w:rsidRDefault="00087BA6" w:rsidP="005306D6">
      <w:pPr>
        <w:jc w:val="both"/>
        <w:rPr>
          <w:rStyle w:val="Hyperlink"/>
        </w:rPr>
      </w:pPr>
      <w:hyperlink r:id="rId10" w:history="1">
        <w:r w:rsidR="00C76724" w:rsidRPr="005306D6">
          <w:rPr>
            <w:rStyle w:val="Hyperlink"/>
          </w:rPr>
          <w:t>Domestic abuse: statistics recorded by the police in Scotland, 2022-23 - gov.scot (www.gov.scot)</w:t>
        </w:r>
      </w:hyperlink>
    </w:p>
    <w:p w14:paraId="5AE4F97A" w14:textId="77777777" w:rsidR="00336D26" w:rsidRPr="005306D6" w:rsidRDefault="00087BA6" w:rsidP="005306D6">
      <w:pPr>
        <w:jc w:val="both"/>
      </w:pPr>
      <w:hyperlink r:id="rId11" w:history="1">
        <w:r w:rsidR="00336D26" w:rsidRPr="005306D6">
          <w:rPr>
            <w:rStyle w:val="Hyperlink"/>
          </w:rPr>
          <w:t>Domestic abuse: statistics recorded by the police in Scotland - 2021/22 - gov.scot (www.gov.scot)</w:t>
        </w:r>
      </w:hyperlink>
    </w:p>
    <w:p w14:paraId="1D43A8C5" w14:textId="77777777" w:rsidR="00336D26" w:rsidRPr="005306D6" w:rsidRDefault="00087BA6" w:rsidP="005306D6">
      <w:pPr>
        <w:jc w:val="both"/>
      </w:pPr>
      <w:hyperlink r:id="rId12" w:history="1">
        <w:r w:rsidR="00336D26" w:rsidRPr="005306D6">
          <w:rPr>
            <w:rStyle w:val="Hyperlink"/>
          </w:rPr>
          <w:t>Domestic abuse: statistics recorded by the Police in Scotland - 2020/21 - gov.scot (www.gov.scot)</w:t>
        </w:r>
      </w:hyperlink>
    </w:p>
    <w:p w14:paraId="47AE532D" w14:textId="77777777" w:rsidR="00336D26" w:rsidRPr="005306D6" w:rsidRDefault="00087BA6" w:rsidP="005306D6">
      <w:pPr>
        <w:jc w:val="both"/>
      </w:pPr>
      <w:hyperlink r:id="rId13" w:history="1">
        <w:r w:rsidR="00336D26" w:rsidRPr="005306D6">
          <w:rPr>
            <w:rStyle w:val="Hyperlink"/>
          </w:rPr>
          <w:t>Domestic abuse: statistics recorded by the police in Scotland - 2019/20 - gov.scot (www.gov.scot)</w:t>
        </w:r>
      </w:hyperlink>
    </w:p>
    <w:p w14:paraId="2626E9B0" w14:textId="406FD70D" w:rsidR="00C76724" w:rsidRPr="005306D6" w:rsidRDefault="00087BA6" w:rsidP="005306D6">
      <w:pPr>
        <w:jc w:val="both"/>
      </w:pPr>
      <w:hyperlink r:id="rId14" w:history="1">
        <w:r w:rsidR="00336D26" w:rsidRPr="005306D6">
          <w:rPr>
            <w:rStyle w:val="Hyperlink"/>
          </w:rPr>
          <w:t>Key Points - Domestic abuse: statistics recorded by the police in Scotland - 2018/19 - gov.scot (www.gov.scot)</w:t>
        </w:r>
      </w:hyperlink>
      <w:bookmarkEnd w:id="0"/>
    </w:p>
    <w:p w14:paraId="3DDFD2CA" w14:textId="77777777" w:rsidR="00C76724" w:rsidRPr="005306D6" w:rsidRDefault="00C76724" w:rsidP="005306D6">
      <w:pPr>
        <w:pStyle w:val="ListParagraph"/>
        <w:numPr>
          <w:ilvl w:val="0"/>
          <w:numId w:val="17"/>
        </w:numPr>
        <w:spacing w:before="0" w:after="0" w:line="240" w:lineRule="auto"/>
        <w:jc w:val="both"/>
        <w:textAlignment w:val="baseline"/>
        <w:rPr>
          <w:rFonts w:eastAsia="Times New Roman"/>
          <w:color w:val="FF0000"/>
          <w:lang w:eastAsia="en-GB"/>
        </w:rPr>
      </w:pPr>
      <w:r w:rsidRPr="005306D6">
        <w:rPr>
          <w:rFonts w:eastAsia="Times New Roman"/>
          <w:b/>
          <w:bCs/>
          <w:color w:val="000000"/>
          <w:lang w:eastAsia="en-GB"/>
        </w:rPr>
        <w:t>The nature of the abuse (e.g. psychological, physical, sexual, emotional)</w:t>
      </w:r>
      <w:r w:rsidRPr="005306D6">
        <w:rPr>
          <w:rFonts w:eastAsia="Times New Roman"/>
          <w:color w:val="000000"/>
          <w:lang w:eastAsia="en-GB"/>
        </w:rPr>
        <w:t xml:space="preserve"> </w:t>
      </w:r>
    </w:p>
    <w:p w14:paraId="4EA65EA8" w14:textId="77777777" w:rsidR="00C76724" w:rsidRPr="005306D6" w:rsidRDefault="00C76724" w:rsidP="005306D6">
      <w:pPr>
        <w:spacing w:before="0" w:after="0" w:line="240" w:lineRule="auto"/>
        <w:jc w:val="both"/>
        <w:textAlignment w:val="baseline"/>
        <w:rPr>
          <w:rFonts w:eastAsia="Times New Roman"/>
          <w:color w:val="FF0000"/>
          <w:lang w:eastAsia="en-GB"/>
        </w:rPr>
      </w:pPr>
    </w:p>
    <w:p w14:paraId="5F8A339D" w14:textId="23B55D17" w:rsidR="00C76724" w:rsidRPr="005306D6" w:rsidRDefault="00C76724" w:rsidP="005306D6">
      <w:pPr>
        <w:jc w:val="both"/>
      </w:pPr>
      <w:r w:rsidRPr="005306D6">
        <w:t>Unfortunately, I estimate that it would cost well in excess of the current FOI cost threshold of £600 to process your request.  I am therefore refusing to provide the information sought in terms of section 12(1) of the Act - Excessive Cost of Compliance.</w:t>
      </w:r>
    </w:p>
    <w:p w14:paraId="32C5900D" w14:textId="0E968EC3" w:rsidR="00946A79" w:rsidRPr="005306D6" w:rsidRDefault="008D179A" w:rsidP="005306D6">
      <w:pPr>
        <w:jc w:val="both"/>
      </w:pPr>
      <w:r w:rsidRPr="005306D6">
        <w:t>Domestic abuse encompasses a host of examples of types of abusive behaviour and there is no way to automatically extract this level of detail. Accordingly, we would have to research many thousands of incidents to establish an accurate response.  This is an exercise that would far exceed the cost threshold of the Act.</w:t>
      </w:r>
    </w:p>
    <w:p w14:paraId="40E29E07" w14:textId="1026EE52" w:rsidR="008D179A" w:rsidRPr="005306D6" w:rsidRDefault="00D84E5E" w:rsidP="005306D6">
      <w:pPr>
        <w:jc w:val="both"/>
        <w:rPr>
          <w:rFonts w:eastAsia="Times New Roman"/>
          <w:b/>
          <w:bCs/>
          <w:lang w:eastAsia="en-GB"/>
        </w:rPr>
      </w:pPr>
      <w:r w:rsidRPr="005306D6">
        <w:lastRenderedPageBreak/>
        <w:t xml:space="preserve">The publicly available links include some information about the most frequently recorded crimes and offences as part of domestic abuse. </w:t>
      </w:r>
    </w:p>
    <w:p w14:paraId="55169A2B" w14:textId="364B7ECD" w:rsidR="00946A79" w:rsidRPr="005306D6" w:rsidRDefault="00946A79" w:rsidP="005306D6">
      <w:pPr>
        <w:pStyle w:val="Heading2"/>
        <w:numPr>
          <w:ilvl w:val="0"/>
          <w:numId w:val="17"/>
        </w:numPr>
        <w:jc w:val="both"/>
        <w:rPr>
          <w:rFonts w:eastAsia="Times New Roman" w:cs="Arial"/>
          <w:szCs w:val="24"/>
        </w:rPr>
      </w:pPr>
      <w:r w:rsidRPr="005306D6">
        <w:rPr>
          <w:rFonts w:eastAsia="Times New Roman" w:cs="Arial"/>
          <w:szCs w:val="24"/>
        </w:rPr>
        <w:t>The gender of the victims</w:t>
      </w:r>
    </w:p>
    <w:p w14:paraId="0CB7B7F9" w14:textId="77777777" w:rsidR="00EB6DA7" w:rsidRDefault="008D1000" w:rsidP="00EB6DA7">
      <w:r w:rsidRPr="005306D6">
        <w:t>Th</w:t>
      </w:r>
      <w:r w:rsidR="00D84E5E" w:rsidRPr="005306D6">
        <w:t>is</w:t>
      </w:r>
      <w:r w:rsidRPr="005306D6">
        <w:t xml:space="preserve"> information</w:t>
      </w:r>
      <w:r w:rsidR="00D84E5E" w:rsidRPr="005306D6">
        <w:t xml:space="preserve"> is available </w:t>
      </w:r>
      <w:r w:rsidR="00EB6DA7">
        <w:t>within</w:t>
      </w:r>
      <w:r w:rsidR="00D84E5E" w:rsidRPr="005306D6">
        <w:t xml:space="preserve"> the included links.</w:t>
      </w:r>
      <w:r w:rsidRPr="005306D6">
        <w:t xml:space="preserve"> </w:t>
      </w:r>
    </w:p>
    <w:p w14:paraId="1D37208F" w14:textId="14AF16B2" w:rsidR="008D1000" w:rsidRPr="005306D6" w:rsidRDefault="00D84E5E" w:rsidP="00EB6DA7">
      <w:r w:rsidRPr="005306D6">
        <w:t xml:space="preserve">As the 2023/2024 statistics are not yet available, the  2024 data </w:t>
      </w:r>
      <w:r w:rsidR="00EB6DA7">
        <w:t xml:space="preserve">to date </w:t>
      </w:r>
      <w:r w:rsidRPr="005306D6">
        <w:t>is noted below</w:t>
      </w:r>
      <w:r w:rsidR="00D14F1A">
        <w:t xml:space="preserve">, however please note these </w:t>
      </w:r>
      <w:r w:rsidR="00787C02">
        <w:t xml:space="preserve">figures </w:t>
      </w:r>
      <w:r w:rsidR="00D14F1A">
        <w:t xml:space="preserve">are </w:t>
      </w:r>
      <w:r w:rsidR="00EB6DA7">
        <w:t xml:space="preserve">by </w:t>
      </w:r>
      <w:r w:rsidR="00D14F1A">
        <w:t>calendar year and not financial year as above</w:t>
      </w:r>
      <w:r w:rsidRPr="005306D6">
        <w:t xml:space="preserve">. </w:t>
      </w:r>
    </w:p>
    <w:p w14:paraId="6A97ACE8" w14:textId="77777777" w:rsidR="00336D26" w:rsidRPr="005306D6" w:rsidRDefault="00336D26" w:rsidP="00EB6DA7">
      <w:r w:rsidRPr="005306D6">
        <w:t xml:space="preserve">This data has been extracted from the interim Vulnerable Persons Database (iVPD). </w:t>
      </w:r>
    </w:p>
    <w:p w14:paraId="57D12BCD" w14:textId="77777777" w:rsidR="00336D26" w:rsidRPr="005306D6" w:rsidRDefault="00336D26" w:rsidP="00EB6DA7">
      <w:r w:rsidRPr="005306D6">
        <w:t>The iVPD is 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Victims and Witnesses (Scotland) Act 2014.</w:t>
      </w:r>
    </w:p>
    <w:p w14:paraId="11BB89B8" w14:textId="276968FB" w:rsidR="006E5663" w:rsidRPr="005306D6" w:rsidRDefault="00336D26" w:rsidP="005306D6">
      <w:pPr>
        <w:jc w:val="both"/>
        <w:rPr>
          <w:lang w:eastAsia="en-GB"/>
        </w:rPr>
      </w:pPr>
      <w:r w:rsidRPr="005306D6">
        <w:t>The iVPD is a dynamic database which is constantly being updated and changed in line with our weeding and retention policy.</w:t>
      </w:r>
    </w:p>
    <w:p w14:paraId="546F882C" w14:textId="269EC702" w:rsidR="00D84E5E" w:rsidRPr="005306D6" w:rsidRDefault="00D84E5E" w:rsidP="005306D6">
      <w:pPr>
        <w:jc w:val="both"/>
        <w:rPr>
          <w:b/>
          <w:bCs/>
          <w:lang w:eastAsia="en-GB"/>
        </w:rPr>
      </w:pPr>
      <w:r w:rsidRPr="005306D6">
        <w:rPr>
          <w:lang w:eastAsia="en-GB"/>
        </w:rPr>
        <w:t>Table 1.</w:t>
      </w:r>
      <w:r w:rsidRPr="005306D6">
        <w:rPr>
          <w:b/>
          <w:bCs/>
          <w:lang w:eastAsia="en-GB"/>
        </w:rPr>
        <w:t xml:space="preserve"> </w:t>
      </w:r>
      <w:r w:rsidRPr="005306D6">
        <w:rPr>
          <w:lang w:eastAsia="en-GB"/>
        </w:rPr>
        <w:t>Gender of domestic abuse victims 2024 (to date)</w:t>
      </w:r>
    </w:p>
    <w:tbl>
      <w:tblPr>
        <w:tblStyle w:val="TableGrid"/>
        <w:tblW w:w="2736" w:type="dxa"/>
        <w:tblLayout w:type="fixed"/>
        <w:tblLook w:val="04A0" w:firstRow="1" w:lastRow="0" w:firstColumn="1" w:lastColumn="0" w:noHBand="0" w:noVBand="1"/>
        <w:tblCaption w:val="The gender of the victims."/>
        <w:tblDescription w:val="The gender of the victims.&#10;The gender breakdown of victims in each year where recorded are as follows:&#10;"/>
      </w:tblPr>
      <w:tblGrid>
        <w:gridCol w:w="1555"/>
        <w:gridCol w:w="1181"/>
      </w:tblGrid>
      <w:tr w:rsidR="006E5663" w:rsidRPr="005306D6" w14:paraId="600CFB32" w14:textId="77777777" w:rsidTr="006E5663">
        <w:trPr>
          <w:tblHeader/>
        </w:trPr>
        <w:tc>
          <w:tcPr>
            <w:tcW w:w="1555" w:type="dxa"/>
            <w:shd w:val="clear" w:color="auto" w:fill="D9D9D9" w:themeFill="background1" w:themeFillShade="D9"/>
          </w:tcPr>
          <w:p w14:paraId="5BC688C6" w14:textId="77777777" w:rsidR="006E5663" w:rsidRPr="005306D6" w:rsidRDefault="006E5663" w:rsidP="005306D6">
            <w:pPr>
              <w:jc w:val="both"/>
              <w:rPr>
                <w:b/>
              </w:rPr>
            </w:pPr>
          </w:p>
        </w:tc>
        <w:tc>
          <w:tcPr>
            <w:tcW w:w="1181" w:type="dxa"/>
            <w:shd w:val="clear" w:color="auto" w:fill="D9D9D9" w:themeFill="background1" w:themeFillShade="D9"/>
          </w:tcPr>
          <w:p w14:paraId="2EADE3E8" w14:textId="77777777" w:rsidR="006E5663" w:rsidRPr="005306D6" w:rsidRDefault="006E5663" w:rsidP="005306D6">
            <w:pPr>
              <w:jc w:val="both"/>
              <w:rPr>
                <w:b/>
              </w:rPr>
            </w:pPr>
            <w:r w:rsidRPr="005306D6">
              <w:rPr>
                <w:b/>
              </w:rPr>
              <w:t>2024*</w:t>
            </w:r>
          </w:p>
        </w:tc>
      </w:tr>
      <w:tr w:rsidR="006E5663" w:rsidRPr="005306D6" w14:paraId="41FC4BAB" w14:textId="77777777" w:rsidTr="006E5663">
        <w:trPr>
          <w:trHeight w:val="330"/>
        </w:trPr>
        <w:tc>
          <w:tcPr>
            <w:tcW w:w="1555" w:type="dxa"/>
          </w:tcPr>
          <w:p w14:paraId="6D0D84AE" w14:textId="77777777" w:rsidR="006E5663" w:rsidRPr="005306D6" w:rsidRDefault="006E5663" w:rsidP="005306D6">
            <w:pPr>
              <w:jc w:val="both"/>
              <w:rPr>
                <w:lang w:eastAsia="en-GB"/>
              </w:rPr>
            </w:pPr>
            <w:r w:rsidRPr="005306D6">
              <w:rPr>
                <w:lang w:eastAsia="en-GB"/>
              </w:rPr>
              <w:t>Female</w:t>
            </w:r>
          </w:p>
        </w:tc>
        <w:tc>
          <w:tcPr>
            <w:tcW w:w="1181" w:type="dxa"/>
          </w:tcPr>
          <w:p w14:paraId="5E7B79CB" w14:textId="77777777" w:rsidR="006E5663" w:rsidRPr="005306D6" w:rsidRDefault="006E5663" w:rsidP="005306D6">
            <w:pPr>
              <w:jc w:val="both"/>
              <w:rPr>
                <w:rFonts w:eastAsia="Times New Roman"/>
                <w:color w:val="000000"/>
                <w:lang w:eastAsia="en-GB"/>
              </w:rPr>
            </w:pPr>
            <w:r w:rsidRPr="005306D6">
              <w:rPr>
                <w:rFonts w:eastAsia="Times New Roman"/>
                <w:color w:val="000000"/>
                <w:lang w:eastAsia="en-GB"/>
              </w:rPr>
              <w:t>6,665</w:t>
            </w:r>
          </w:p>
        </w:tc>
      </w:tr>
      <w:tr w:rsidR="006E5663" w:rsidRPr="005306D6" w14:paraId="7D4926DD" w14:textId="77777777" w:rsidTr="006E5663">
        <w:trPr>
          <w:trHeight w:val="330"/>
        </w:trPr>
        <w:tc>
          <w:tcPr>
            <w:tcW w:w="1555" w:type="dxa"/>
          </w:tcPr>
          <w:p w14:paraId="06EFC0AE" w14:textId="77777777" w:rsidR="006E5663" w:rsidRPr="005306D6" w:rsidRDefault="006E5663" w:rsidP="005306D6">
            <w:pPr>
              <w:jc w:val="both"/>
              <w:rPr>
                <w:lang w:eastAsia="en-GB"/>
              </w:rPr>
            </w:pPr>
            <w:r w:rsidRPr="005306D6">
              <w:rPr>
                <w:lang w:eastAsia="en-GB"/>
              </w:rPr>
              <w:t>Male</w:t>
            </w:r>
          </w:p>
        </w:tc>
        <w:tc>
          <w:tcPr>
            <w:tcW w:w="1181" w:type="dxa"/>
          </w:tcPr>
          <w:p w14:paraId="32F1B212" w14:textId="77777777" w:rsidR="006E5663" w:rsidRPr="005306D6" w:rsidRDefault="006E5663" w:rsidP="005306D6">
            <w:pPr>
              <w:jc w:val="both"/>
              <w:rPr>
                <w:rFonts w:eastAsia="Times New Roman"/>
                <w:color w:val="000000"/>
                <w:lang w:eastAsia="en-GB"/>
              </w:rPr>
            </w:pPr>
            <w:r w:rsidRPr="005306D6">
              <w:rPr>
                <w:rFonts w:eastAsia="Times New Roman"/>
                <w:color w:val="000000"/>
                <w:lang w:eastAsia="en-GB"/>
              </w:rPr>
              <w:t>3,995</w:t>
            </w:r>
          </w:p>
        </w:tc>
      </w:tr>
      <w:tr w:rsidR="006E5663" w:rsidRPr="005306D6" w14:paraId="360E026A" w14:textId="77777777" w:rsidTr="006E5663">
        <w:trPr>
          <w:trHeight w:val="330"/>
        </w:trPr>
        <w:tc>
          <w:tcPr>
            <w:tcW w:w="1555" w:type="dxa"/>
          </w:tcPr>
          <w:p w14:paraId="7A64F3AD" w14:textId="77777777" w:rsidR="006E5663" w:rsidRPr="005306D6" w:rsidRDefault="006E5663" w:rsidP="005306D6">
            <w:pPr>
              <w:jc w:val="both"/>
              <w:rPr>
                <w:lang w:eastAsia="en-GB"/>
              </w:rPr>
            </w:pPr>
            <w:r w:rsidRPr="005306D6">
              <w:rPr>
                <w:lang w:eastAsia="en-GB"/>
              </w:rPr>
              <w:t>Unknown</w:t>
            </w:r>
          </w:p>
        </w:tc>
        <w:tc>
          <w:tcPr>
            <w:tcW w:w="1181" w:type="dxa"/>
          </w:tcPr>
          <w:p w14:paraId="0F93D98F" w14:textId="77777777" w:rsidR="006E5663" w:rsidRPr="005306D6" w:rsidRDefault="006E5663" w:rsidP="005306D6">
            <w:pPr>
              <w:jc w:val="both"/>
              <w:rPr>
                <w:rFonts w:eastAsia="Times New Roman"/>
                <w:color w:val="000000"/>
                <w:lang w:eastAsia="en-GB"/>
              </w:rPr>
            </w:pPr>
            <w:r w:rsidRPr="005306D6">
              <w:rPr>
                <w:rFonts w:eastAsia="Times New Roman"/>
                <w:color w:val="000000"/>
                <w:lang w:eastAsia="en-GB"/>
              </w:rPr>
              <w:t>38</w:t>
            </w:r>
          </w:p>
        </w:tc>
      </w:tr>
    </w:tbl>
    <w:p w14:paraId="527F7094" w14:textId="77777777" w:rsidR="00C76724" w:rsidRPr="005306D6" w:rsidRDefault="00C76724" w:rsidP="005306D6">
      <w:pPr>
        <w:jc w:val="both"/>
        <w:rPr>
          <w:rFonts w:eastAsia="Times New Roman"/>
          <w:b/>
          <w:bCs/>
          <w:lang w:eastAsia="en-GB"/>
        </w:rPr>
      </w:pPr>
    </w:p>
    <w:p w14:paraId="56D9CCA1" w14:textId="06256309" w:rsidR="00B26EEF" w:rsidRPr="005306D6" w:rsidRDefault="00946A79" w:rsidP="005306D6">
      <w:pPr>
        <w:pStyle w:val="ListParagraph"/>
        <w:numPr>
          <w:ilvl w:val="0"/>
          <w:numId w:val="17"/>
        </w:numPr>
        <w:jc w:val="both"/>
        <w:rPr>
          <w:rFonts w:eastAsia="Times New Roman"/>
          <w:b/>
          <w:bCs/>
          <w:lang w:eastAsia="en-GB"/>
        </w:rPr>
      </w:pPr>
      <w:r w:rsidRPr="005306D6">
        <w:rPr>
          <w:rFonts w:eastAsia="Times New Roman"/>
          <w:b/>
          <w:bCs/>
          <w:lang w:eastAsia="en-GB"/>
        </w:rPr>
        <w:t>The gender of the offenders.</w:t>
      </w:r>
    </w:p>
    <w:p w14:paraId="02819C7A" w14:textId="77777777" w:rsidR="00EB6DA7" w:rsidRDefault="00EF099F" w:rsidP="005306D6">
      <w:pPr>
        <w:jc w:val="both"/>
      </w:pPr>
      <w:r w:rsidRPr="005306D6">
        <w:t xml:space="preserve">This information is available </w:t>
      </w:r>
      <w:r w:rsidR="00EB6DA7">
        <w:t>within</w:t>
      </w:r>
      <w:r w:rsidRPr="005306D6">
        <w:t xml:space="preserve"> the included links. </w:t>
      </w:r>
    </w:p>
    <w:p w14:paraId="52F8ECF7" w14:textId="35546A5F" w:rsidR="00EF099F" w:rsidRPr="005306D6" w:rsidRDefault="00EF099F" w:rsidP="005306D6">
      <w:pPr>
        <w:jc w:val="both"/>
      </w:pPr>
      <w:r w:rsidRPr="005306D6">
        <w:t>As the 2023/2024 statistics are not yet available, the available 2024 data is noted below</w:t>
      </w:r>
      <w:r w:rsidR="00D14F1A">
        <w:t xml:space="preserve"> </w:t>
      </w:r>
      <w:r w:rsidR="00EB6DA7">
        <w:t xml:space="preserve">- </w:t>
      </w:r>
      <w:r w:rsidR="00D14F1A">
        <w:t xml:space="preserve">however, please note these </w:t>
      </w:r>
      <w:r w:rsidR="00787C02">
        <w:t xml:space="preserve">figures </w:t>
      </w:r>
      <w:r w:rsidR="00D14F1A">
        <w:t xml:space="preserve">are calendar year </w:t>
      </w:r>
      <w:r w:rsidR="00EB6DA7">
        <w:t xml:space="preserve">(to date) </w:t>
      </w:r>
      <w:r w:rsidR="00D14F1A">
        <w:t>and not financial year as above</w:t>
      </w:r>
      <w:r w:rsidRPr="005306D6">
        <w:t xml:space="preserve">. </w:t>
      </w:r>
    </w:p>
    <w:p w14:paraId="1481542D" w14:textId="23F6A0FB" w:rsidR="00C76724" w:rsidRPr="005306D6" w:rsidRDefault="00EF099F" w:rsidP="005306D6">
      <w:pPr>
        <w:jc w:val="both"/>
        <w:rPr>
          <w:lang w:eastAsia="en-GB"/>
        </w:rPr>
      </w:pPr>
      <w:r w:rsidRPr="005306D6">
        <w:rPr>
          <w:lang w:eastAsia="en-GB"/>
        </w:rPr>
        <w:t>Table 2. Gender of domestic abuse suspected perpetrator</w:t>
      </w:r>
    </w:p>
    <w:tbl>
      <w:tblPr>
        <w:tblStyle w:val="TableGrid"/>
        <w:tblW w:w="2736" w:type="dxa"/>
        <w:tblLayout w:type="fixed"/>
        <w:tblLook w:val="04A0" w:firstRow="1" w:lastRow="0" w:firstColumn="1" w:lastColumn="0" w:noHBand="0" w:noVBand="1"/>
        <w:tblCaption w:val="The gender of the offenders."/>
        <w:tblDescription w:val="The gender of the offenders.&#10;The gender breakdown of perpetrators in each year where recorded are as follows:&#10;"/>
      </w:tblPr>
      <w:tblGrid>
        <w:gridCol w:w="1555"/>
        <w:gridCol w:w="1181"/>
      </w:tblGrid>
      <w:tr w:rsidR="006E5663" w:rsidRPr="005306D6" w14:paraId="49A78AF1" w14:textId="77777777" w:rsidTr="006E5663">
        <w:trPr>
          <w:tblHeader/>
        </w:trPr>
        <w:tc>
          <w:tcPr>
            <w:tcW w:w="1555" w:type="dxa"/>
            <w:shd w:val="clear" w:color="auto" w:fill="D9D9D9" w:themeFill="background1" w:themeFillShade="D9"/>
          </w:tcPr>
          <w:p w14:paraId="4086F3BA" w14:textId="77777777" w:rsidR="006E5663" w:rsidRPr="005306D6" w:rsidRDefault="006E5663" w:rsidP="005306D6">
            <w:pPr>
              <w:jc w:val="both"/>
              <w:rPr>
                <w:b/>
              </w:rPr>
            </w:pPr>
          </w:p>
        </w:tc>
        <w:tc>
          <w:tcPr>
            <w:tcW w:w="1181" w:type="dxa"/>
            <w:shd w:val="clear" w:color="auto" w:fill="D9D9D9" w:themeFill="background1" w:themeFillShade="D9"/>
          </w:tcPr>
          <w:p w14:paraId="05167588" w14:textId="77777777" w:rsidR="006E5663" w:rsidRPr="005306D6" w:rsidRDefault="006E5663" w:rsidP="005306D6">
            <w:pPr>
              <w:jc w:val="both"/>
              <w:rPr>
                <w:b/>
              </w:rPr>
            </w:pPr>
            <w:r w:rsidRPr="005306D6">
              <w:rPr>
                <w:b/>
              </w:rPr>
              <w:t>2024*</w:t>
            </w:r>
          </w:p>
        </w:tc>
      </w:tr>
      <w:tr w:rsidR="006E5663" w:rsidRPr="005306D6" w14:paraId="3EC9F947" w14:textId="77777777" w:rsidTr="006E5663">
        <w:trPr>
          <w:trHeight w:val="330"/>
        </w:trPr>
        <w:tc>
          <w:tcPr>
            <w:tcW w:w="1555" w:type="dxa"/>
          </w:tcPr>
          <w:p w14:paraId="3B8A23A8" w14:textId="77777777" w:rsidR="006E5663" w:rsidRPr="005306D6" w:rsidRDefault="006E5663" w:rsidP="005306D6">
            <w:pPr>
              <w:jc w:val="both"/>
              <w:rPr>
                <w:lang w:eastAsia="en-GB"/>
              </w:rPr>
            </w:pPr>
            <w:r w:rsidRPr="005306D6">
              <w:rPr>
                <w:lang w:eastAsia="en-GB"/>
              </w:rPr>
              <w:t>Female</w:t>
            </w:r>
          </w:p>
        </w:tc>
        <w:tc>
          <w:tcPr>
            <w:tcW w:w="1181" w:type="dxa"/>
          </w:tcPr>
          <w:p w14:paraId="5E460210" w14:textId="77777777" w:rsidR="006E5663" w:rsidRPr="005306D6" w:rsidRDefault="006E5663" w:rsidP="005306D6">
            <w:pPr>
              <w:jc w:val="both"/>
              <w:rPr>
                <w:rFonts w:eastAsia="Times New Roman"/>
                <w:color w:val="000000"/>
                <w:lang w:eastAsia="en-GB"/>
              </w:rPr>
            </w:pPr>
            <w:r w:rsidRPr="005306D6">
              <w:rPr>
                <w:rFonts w:eastAsia="Times New Roman"/>
                <w:color w:val="000000"/>
                <w:lang w:eastAsia="en-GB"/>
              </w:rPr>
              <w:t>2,649</w:t>
            </w:r>
          </w:p>
        </w:tc>
      </w:tr>
      <w:tr w:rsidR="006E5663" w:rsidRPr="005306D6" w14:paraId="5FF43176" w14:textId="77777777" w:rsidTr="006E5663">
        <w:trPr>
          <w:trHeight w:val="330"/>
        </w:trPr>
        <w:tc>
          <w:tcPr>
            <w:tcW w:w="1555" w:type="dxa"/>
          </w:tcPr>
          <w:p w14:paraId="656CEDFC" w14:textId="77777777" w:rsidR="006E5663" w:rsidRPr="005306D6" w:rsidRDefault="006E5663" w:rsidP="005306D6">
            <w:pPr>
              <w:jc w:val="both"/>
              <w:rPr>
                <w:lang w:eastAsia="en-GB"/>
              </w:rPr>
            </w:pPr>
            <w:r w:rsidRPr="005306D6">
              <w:rPr>
                <w:lang w:eastAsia="en-GB"/>
              </w:rPr>
              <w:t>Male</w:t>
            </w:r>
          </w:p>
        </w:tc>
        <w:tc>
          <w:tcPr>
            <w:tcW w:w="1181" w:type="dxa"/>
          </w:tcPr>
          <w:p w14:paraId="6FBDD07D" w14:textId="77777777" w:rsidR="006E5663" w:rsidRPr="005306D6" w:rsidRDefault="006E5663" w:rsidP="005306D6">
            <w:pPr>
              <w:jc w:val="both"/>
              <w:rPr>
                <w:rFonts w:eastAsia="Times New Roman"/>
                <w:color w:val="000000"/>
                <w:lang w:eastAsia="en-GB"/>
              </w:rPr>
            </w:pPr>
            <w:r w:rsidRPr="005306D6">
              <w:rPr>
                <w:rFonts w:eastAsia="Times New Roman"/>
                <w:color w:val="000000"/>
                <w:lang w:eastAsia="en-GB"/>
              </w:rPr>
              <w:t>12,213</w:t>
            </w:r>
          </w:p>
        </w:tc>
      </w:tr>
      <w:tr w:rsidR="006E5663" w:rsidRPr="005306D6" w14:paraId="1289DC92" w14:textId="77777777" w:rsidTr="006E5663">
        <w:trPr>
          <w:trHeight w:val="330"/>
        </w:trPr>
        <w:tc>
          <w:tcPr>
            <w:tcW w:w="1555" w:type="dxa"/>
          </w:tcPr>
          <w:p w14:paraId="361A64FE" w14:textId="77777777" w:rsidR="006E5663" w:rsidRPr="005306D6" w:rsidRDefault="006E5663" w:rsidP="005306D6">
            <w:pPr>
              <w:jc w:val="both"/>
              <w:rPr>
                <w:lang w:eastAsia="en-GB"/>
              </w:rPr>
            </w:pPr>
            <w:r w:rsidRPr="005306D6">
              <w:rPr>
                <w:lang w:eastAsia="en-GB"/>
              </w:rPr>
              <w:t>Unknown</w:t>
            </w:r>
          </w:p>
        </w:tc>
        <w:tc>
          <w:tcPr>
            <w:tcW w:w="1181" w:type="dxa"/>
          </w:tcPr>
          <w:p w14:paraId="319A966F" w14:textId="77777777" w:rsidR="006E5663" w:rsidRPr="005306D6" w:rsidRDefault="006E5663" w:rsidP="005306D6">
            <w:pPr>
              <w:jc w:val="both"/>
              <w:rPr>
                <w:rFonts w:eastAsia="Times New Roman"/>
                <w:color w:val="000000"/>
                <w:lang w:eastAsia="en-GB"/>
              </w:rPr>
            </w:pPr>
            <w:r w:rsidRPr="005306D6">
              <w:rPr>
                <w:rFonts w:eastAsia="Times New Roman"/>
                <w:color w:val="000000"/>
                <w:lang w:eastAsia="en-GB"/>
              </w:rPr>
              <w:t>96</w:t>
            </w:r>
          </w:p>
        </w:tc>
      </w:tr>
    </w:tbl>
    <w:p w14:paraId="12EE138A" w14:textId="77777777" w:rsidR="00EF099F" w:rsidRPr="005306D6" w:rsidRDefault="00EF099F" w:rsidP="005306D6">
      <w:pPr>
        <w:jc w:val="both"/>
        <w:rPr>
          <w:rFonts w:eastAsia="Times New Roman"/>
          <w:b/>
          <w:bCs/>
          <w:lang w:eastAsia="en-GB"/>
        </w:rPr>
      </w:pPr>
    </w:p>
    <w:p w14:paraId="4E6DB23C" w14:textId="77777777" w:rsidR="00EF099F" w:rsidRDefault="00EF099F" w:rsidP="005306D6">
      <w:pPr>
        <w:jc w:val="both"/>
        <w:rPr>
          <w:color w:val="333333"/>
          <w:shd w:val="clear" w:color="auto" w:fill="FFFFFF"/>
        </w:rPr>
      </w:pPr>
      <w:r w:rsidRPr="005306D6">
        <w:rPr>
          <w:color w:val="333333"/>
          <w:shd w:val="clear" w:color="auto" w:fill="FFFFFF"/>
        </w:rPr>
        <w:t xml:space="preserve">The term suspected perpetrator is used to encompass both a person suspected to have committed an offence where the police attend an incident </w:t>
      </w:r>
      <w:r w:rsidRPr="00EB6DA7">
        <w:rPr>
          <w:i/>
          <w:iCs/>
          <w:color w:val="333333"/>
          <w:shd w:val="clear" w:color="auto" w:fill="FFFFFF"/>
        </w:rPr>
        <w:t>and</w:t>
      </w:r>
      <w:r w:rsidRPr="005306D6">
        <w:rPr>
          <w:color w:val="333333"/>
          <w:shd w:val="clear" w:color="auto" w:fill="FFFFFF"/>
        </w:rPr>
        <w:t xml:space="preserve"> a person charged by the police with having committed a criminal offence.</w:t>
      </w:r>
    </w:p>
    <w:p w14:paraId="39D80DF3" w14:textId="77777777" w:rsidR="00EB6DA7" w:rsidRPr="005306D6" w:rsidRDefault="00EB6DA7" w:rsidP="005306D6">
      <w:pPr>
        <w:jc w:val="both"/>
        <w:rPr>
          <w:color w:val="333333"/>
          <w:shd w:val="clear" w:color="auto" w:fill="FFFFFF"/>
        </w:rPr>
      </w:pPr>
    </w:p>
    <w:p w14:paraId="75A99F39" w14:textId="478A8BB5" w:rsidR="00946A79" w:rsidRPr="005306D6" w:rsidRDefault="00946A79" w:rsidP="005306D6">
      <w:pPr>
        <w:pStyle w:val="ListParagraph"/>
        <w:numPr>
          <w:ilvl w:val="0"/>
          <w:numId w:val="17"/>
        </w:numPr>
        <w:jc w:val="both"/>
        <w:rPr>
          <w:rFonts w:eastAsia="Times New Roman"/>
          <w:b/>
          <w:bCs/>
          <w:lang w:eastAsia="en-GB"/>
        </w:rPr>
      </w:pPr>
      <w:r w:rsidRPr="005306D6">
        <w:rPr>
          <w:rFonts w:eastAsia="Times New Roman"/>
          <w:b/>
          <w:bCs/>
          <w:lang w:eastAsia="en-GB"/>
        </w:rPr>
        <w:t>The ethnic background of the victims</w:t>
      </w:r>
    </w:p>
    <w:p w14:paraId="128B970B" w14:textId="1630E86A" w:rsidR="00C76724" w:rsidRPr="005306D6" w:rsidRDefault="004D2BEA" w:rsidP="005306D6">
      <w:pPr>
        <w:jc w:val="both"/>
        <w:rPr>
          <w:rFonts w:eastAsia="Times New Roman"/>
          <w:lang w:eastAsia="en-GB"/>
        </w:rPr>
      </w:pPr>
      <w:r w:rsidRPr="005306D6">
        <w:rPr>
          <w:rFonts w:eastAsia="Times New Roman"/>
          <w:lang w:eastAsia="en-GB"/>
        </w:rPr>
        <w:t xml:space="preserve">A breakdown by ethnicity </w:t>
      </w:r>
      <w:r w:rsidR="00C76724" w:rsidRPr="005306D6">
        <w:rPr>
          <w:rFonts w:eastAsia="Times New Roman"/>
          <w:lang w:eastAsia="en-GB"/>
        </w:rPr>
        <w:t>of victim</w:t>
      </w:r>
      <w:r w:rsidRPr="005306D6">
        <w:rPr>
          <w:rFonts w:eastAsia="Times New Roman"/>
          <w:lang w:eastAsia="en-GB"/>
        </w:rPr>
        <w:t>s of domestic abuse (across the entire period requested)</w:t>
      </w:r>
      <w:r w:rsidR="00C76724" w:rsidRPr="005306D6">
        <w:rPr>
          <w:rFonts w:eastAsia="Times New Roman"/>
          <w:lang w:eastAsia="en-GB"/>
        </w:rPr>
        <w:t xml:space="preserve"> </w:t>
      </w:r>
      <w:r w:rsidR="00946A79" w:rsidRPr="005306D6">
        <w:rPr>
          <w:rFonts w:eastAsia="Times New Roman"/>
          <w:lang w:eastAsia="en-GB"/>
        </w:rPr>
        <w:t>is</w:t>
      </w:r>
      <w:r w:rsidR="00B26EEF" w:rsidRPr="005306D6">
        <w:rPr>
          <w:rFonts w:eastAsia="Times New Roman"/>
          <w:lang w:eastAsia="en-GB"/>
        </w:rPr>
        <w:t xml:space="preserve"> recorded as follows:</w:t>
      </w:r>
    </w:p>
    <w:tbl>
      <w:tblPr>
        <w:tblStyle w:val="TableGrid"/>
        <w:tblW w:w="0" w:type="auto"/>
        <w:tblLook w:val="04A0" w:firstRow="1" w:lastRow="0" w:firstColumn="1" w:lastColumn="0" w:noHBand="0" w:noVBand="1"/>
        <w:tblCaption w:val="The ethnic background of the victims."/>
        <w:tblDescription w:val="The ethnic background of the victims.&#10;A breakdown by ethnicity of victims of domestic abuse (across the entire period requested) is recorded as follows:&#10;"/>
      </w:tblPr>
      <w:tblGrid>
        <w:gridCol w:w="4360"/>
        <w:gridCol w:w="3857"/>
      </w:tblGrid>
      <w:tr w:rsidR="00946A79" w:rsidRPr="005306D6" w14:paraId="71CED38A" w14:textId="77777777" w:rsidTr="00E428CE">
        <w:trPr>
          <w:trHeight w:val="315"/>
          <w:tblHeader/>
        </w:trPr>
        <w:tc>
          <w:tcPr>
            <w:tcW w:w="4360" w:type="dxa"/>
            <w:shd w:val="clear" w:color="auto" w:fill="D9D9D9" w:themeFill="background1" w:themeFillShade="D9"/>
            <w:noWrap/>
            <w:hideMark/>
          </w:tcPr>
          <w:p w14:paraId="444ECD3C" w14:textId="77777777" w:rsidR="00946A79" w:rsidRPr="005306D6" w:rsidRDefault="00946A79" w:rsidP="005306D6">
            <w:pPr>
              <w:jc w:val="both"/>
              <w:rPr>
                <w:rFonts w:eastAsia="Times New Roman"/>
                <w:b/>
                <w:bCs/>
                <w:lang w:eastAsia="en-GB"/>
              </w:rPr>
            </w:pPr>
            <w:r w:rsidRPr="005306D6">
              <w:rPr>
                <w:rFonts w:eastAsia="Times New Roman"/>
                <w:b/>
                <w:bCs/>
                <w:lang w:eastAsia="en-GB"/>
              </w:rPr>
              <w:t>Description</w:t>
            </w:r>
          </w:p>
        </w:tc>
        <w:tc>
          <w:tcPr>
            <w:tcW w:w="3857" w:type="dxa"/>
            <w:shd w:val="clear" w:color="auto" w:fill="D9D9D9" w:themeFill="background1" w:themeFillShade="D9"/>
            <w:noWrap/>
            <w:hideMark/>
          </w:tcPr>
          <w:p w14:paraId="1E244DF1" w14:textId="37A0ACF9" w:rsidR="00946A79" w:rsidRPr="005306D6" w:rsidRDefault="00204BBE" w:rsidP="005306D6">
            <w:pPr>
              <w:jc w:val="both"/>
              <w:rPr>
                <w:rFonts w:eastAsia="Times New Roman"/>
                <w:b/>
                <w:bCs/>
                <w:lang w:eastAsia="en-GB"/>
              </w:rPr>
            </w:pPr>
            <w:r w:rsidRPr="005306D6">
              <w:rPr>
                <w:rFonts w:eastAsia="Times New Roman"/>
                <w:b/>
                <w:bCs/>
                <w:lang w:eastAsia="en-GB"/>
              </w:rPr>
              <w:t>No. of victims</w:t>
            </w:r>
          </w:p>
        </w:tc>
      </w:tr>
      <w:tr w:rsidR="00946A79" w:rsidRPr="005306D6" w14:paraId="17B04F5D" w14:textId="77777777" w:rsidTr="00204BBE">
        <w:trPr>
          <w:trHeight w:val="300"/>
        </w:trPr>
        <w:tc>
          <w:tcPr>
            <w:tcW w:w="4360" w:type="dxa"/>
            <w:noWrap/>
            <w:hideMark/>
          </w:tcPr>
          <w:p w14:paraId="26964FCB" w14:textId="77777777" w:rsidR="00946A79" w:rsidRPr="005306D6" w:rsidRDefault="00946A79" w:rsidP="005306D6">
            <w:pPr>
              <w:jc w:val="both"/>
              <w:rPr>
                <w:rFonts w:eastAsia="Times New Roman"/>
                <w:lang w:eastAsia="en-GB"/>
              </w:rPr>
            </w:pPr>
            <w:r w:rsidRPr="005306D6">
              <w:rPr>
                <w:rFonts w:eastAsia="Times New Roman"/>
                <w:lang w:eastAsia="en-GB"/>
              </w:rPr>
              <w:t>African</w:t>
            </w:r>
          </w:p>
        </w:tc>
        <w:tc>
          <w:tcPr>
            <w:tcW w:w="3857" w:type="dxa"/>
            <w:noWrap/>
            <w:hideMark/>
          </w:tcPr>
          <w:p w14:paraId="6F7FDF8E" w14:textId="77777777" w:rsidR="00946A79" w:rsidRPr="005306D6" w:rsidRDefault="00946A79" w:rsidP="005306D6">
            <w:pPr>
              <w:jc w:val="both"/>
              <w:rPr>
                <w:rFonts w:eastAsia="Times New Roman"/>
                <w:lang w:eastAsia="en-GB"/>
              </w:rPr>
            </w:pPr>
            <w:r w:rsidRPr="005306D6">
              <w:rPr>
                <w:rFonts w:eastAsia="Times New Roman"/>
                <w:lang w:eastAsia="en-GB"/>
              </w:rPr>
              <w:t>2,818</w:t>
            </w:r>
          </w:p>
        </w:tc>
      </w:tr>
      <w:tr w:rsidR="00946A79" w:rsidRPr="005306D6" w14:paraId="6CB99DE9" w14:textId="77777777" w:rsidTr="00204BBE">
        <w:trPr>
          <w:trHeight w:val="300"/>
        </w:trPr>
        <w:tc>
          <w:tcPr>
            <w:tcW w:w="4360" w:type="dxa"/>
            <w:noWrap/>
            <w:hideMark/>
          </w:tcPr>
          <w:p w14:paraId="61E1512A" w14:textId="77777777" w:rsidR="00946A79" w:rsidRPr="005306D6" w:rsidRDefault="00946A79" w:rsidP="005306D6">
            <w:pPr>
              <w:jc w:val="both"/>
              <w:rPr>
                <w:rFonts w:eastAsia="Times New Roman"/>
                <w:lang w:eastAsia="en-GB"/>
              </w:rPr>
            </w:pPr>
            <w:r w:rsidRPr="005306D6">
              <w:rPr>
                <w:rFonts w:eastAsia="Times New Roman"/>
                <w:lang w:eastAsia="en-GB"/>
              </w:rPr>
              <w:t>Any Mixed Ethnic group</w:t>
            </w:r>
          </w:p>
        </w:tc>
        <w:tc>
          <w:tcPr>
            <w:tcW w:w="3857" w:type="dxa"/>
            <w:noWrap/>
            <w:hideMark/>
          </w:tcPr>
          <w:p w14:paraId="1BF3A2CF" w14:textId="77777777" w:rsidR="00946A79" w:rsidRPr="005306D6" w:rsidRDefault="00946A79" w:rsidP="005306D6">
            <w:pPr>
              <w:jc w:val="both"/>
              <w:rPr>
                <w:rFonts w:eastAsia="Times New Roman"/>
                <w:lang w:eastAsia="en-GB"/>
              </w:rPr>
            </w:pPr>
            <w:r w:rsidRPr="005306D6">
              <w:rPr>
                <w:rFonts w:eastAsia="Times New Roman"/>
                <w:lang w:eastAsia="en-GB"/>
              </w:rPr>
              <w:t>1,362</w:t>
            </w:r>
          </w:p>
        </w:tc>
      </w:tr>
      <w:tr w:rsidR="00946A79" w:rsidRPr="005306D6" w14:paraId="5FB23F64" w14:textId="77777777" w:rsidTr="00204BBE">
        <w:trPr>
          <w:trHeight w:val="300"/>
        </w:trPr>
        <w:tc>
          <w:tcPr>
            <w:tcW w:w="4360" w:type="dxa"/>
            <w:noWrap/>
            <w:hideMark/>
          </w:tcPr>
          <w:p w14:paraId="27EBF51F" w14:textId="77777777" w:rsidR="00946A79" w:rsidRPr="005306D6" w:rsidRDefault="00946A79" w:rsidP="005306D6">
            <w:pPr>
              <w:jc w:val="both"/>
              <w:rPr>
                <w:rFonts w:eastAsia="Times New Roman"/>
                <w:lang w:eastAsia="en-GB"/>
              </w:rPr>
            </w:pPr>
            <w:r w:rsidRPr="005306D6">
              <w:rPr>
                <w:rFonts w:eastAsia="Times New Roman"/>
                <w:lang w:eastAsia="en-GB"/>
              </w:rPr>
              <w:t>Arab</w:t>
            </w:r>
          </w:p>
        </w:tc>
        <w:tc>
          <w:tcPr>
            <w:tcW w:w="3857" w:type="dxa"/>
            <w:noWrap/>
            <w:hideMark/>
          </w:tcPr>
          <w:p w14:paraId="22277B4F" w14:textId="77777777" w:rsidR="00946A79" w:rsidRPr="005306D6" w:rsidRDefault="00946A79" w:rsidP="005306D6">
            <w:pPr>
              <w:jc w:val="both"/>
              <w:rPr>
                <w:rFonts w:eastAsia="Times New Roman"/>
                <w:lang w:eastAsia="en-GB"/>
              </w:rPr>
            </w:pPr>
            <w:r w:rsidRPr="005306D6">
              <w:rPr>
                <w:rFonts w:eastAsia="Times New Roman"/>
                <w:lang w:eastAsia="en-GB"/>
              </w:rPr>
              <w:t>864</w:t>
            </w:r>
          </w:p>
        </w:tc>
      </w:tr>
      <w:tr w:rsidR="00946A79" w:rsidRPr="005306D6" w14:paraId="3F28824F" w14:textId="77777777" w:rsidTr="00204BBE">
        <w:trPr>
          <w:trHeight w:val="300"/>
        </w:trPr>
        <w:tc>
          <w:tcPr>
            <w:tcW w:w="4360" w:type="dxa"/>
            <w:noWrap/>
            <w:hideMark/>
          </w:tcPr>
          <w:p w14:paraId="5436DA49" w14:textId="77777777" w:rsidR="00946A79" w:rsidRPr="005306D6" w:rsidRDefault="00946A79" w:rsidP="005306D6">
            <w:pPr>
              <w:jc w:val="both"/>
              <w:rPr>
                <w:rFonts w:eastAsia="Times New Roman"/>
                <w:lang w:eastAsia="en-GB"/>
              </w:rPr>
            </w:pPr>
            <w:r w:rsidRPr="005306D6">
              <w:rPr>
                <w:rFonts w:eastAsia="Times New Roman"/>
                <w:lang w:eastAsia="en-GB"/>
              </w:rPr>
              <w:t>Bangladeshi</w:t>
            </w:r>
          </w:p>
        </w:tc>
        <w:tc>
          <w:tcPr>
            <w:tcW w:w="3857" w:type="dxa"/>
            <w:noWrap/>
            <w:hideMark/>
          </w:tcPr>
          <w:p w14:paraId="5760FF21" w14:textId="77777777" w:rsidR="00946A79" w:rsidRPr="005306D6" w:rsidRDefault="00946A79" w:rsidP="005306D6">
            <w:pPr>
              <w:jc w:val="both"/>
              <w:rPr>
                <w:rFonts w:eastAsia="Times New Roman"/>
                <w:lang w:eastAsia="en-GB"/>
              </w:rPr>
            </w:pPr>
            <w:r w:rsidRPr="005306D6">
              <w:rPr>
                <w:rFonts w:eastAsia="Times New Roman"/>
                <w:lang w:eastAsia="en-GB"/>
              </w:rPr>
              <w:t>319</w:t>
            </w:r>
          </w:p>
        </w:tc>
      </w:tr>
      <w:tr w:rsidR="00946A79" w:rsidRPr="005306D6" w14:paraId="4ACA7A76" w14:textId="77777777" w:rsidTr="00204BBE">
        <w:trPr>
          <w:trHeight w:val="300"/>
        </w:trPr>
        <w:tc>
          <w:tcPr>
            <w:tcW w:w="4360" w:type="dxa"/>
            <w:noWrap/>
            <w:hideMark/>
          </w:tcPr>
          <w:p w14:paraId="101BEB11" w14:textId="77777777" w:rsidR="00946A79" w:rsidRPr="005306D6" w:rsidRDefault="00946A79" w:rsidP="005306D6">
            <w:pPr>
              <w:jc w:val="both"/>
              <w:rPr>
                <w:rFonts w:eastAsia="Times New Roman"/>
                <w:lang w:eastAsia="en-GB"/>
              </w:rPr>
            </w:pPr>
            <w:r w:rsidRPr="005306D6">
              <w:rPr>
                <w:rFonts w:eastAsia="Times New Roman"/>
                <w:lang w:eastAsia="en-GB"/>
              </w:rPr>
              <w:t>Black Scottish or Other Black</w:t>
            </w:r>
          </w:p>
        </w:tc>
        <w:tc>
          <w:tcPr>
            <w:tcW w:w="3857" w:type="dxa"/>
            <w:noWrap/>
            <w:hideMark/>
          </w:tcPr>
          <w:p w14:paraId="1A15A0E7" w14:textId="77777777" w:rsidR="00946A79" w:rsidRPr="005306D6" w:rsidRDefault="00946A79" w:rsidP="005306D6">
            <w:pPr>
              <w:jc w:val="both"/>
              <w:rPr>
                <w:rFonts w:eastAsia="Times New Roman"/>
                <w:lang w:eastAsia="en-GB"/>
              </w:rPr>
            </w:pPr>
            <w:r w:rsidRPr="005306D6">
              <w:rPr>
                <w:rFonts w:eastAsia="Times New Roman"/>
                <w:lang w:eastAsia="en-GB"/>
              </w:rPr>
              <w:t>902</w:t>
            </w:r>
          </w:p>
        </w:tc>
      </w:tr>
      <w:tr w:rsidR="00946A79" w:rsidRPr="005306D6" w14:paraId="3609431C" w14:textId="77777777" w:rsidTr="00204BBE">
        <w:trPr>
          <w:trHeight w:val="300"/>
        </w:trPr>
        <w:tc>
          <w:tcPr>
            <w:tcW w:w="4360" w:type="dxa"/>
            <w:noWrap/>
            <w:hideMark/>
          </w:tcPr>
          <w:p w14:paraId="54C8D1B7" w14:textId="77777777" w:rsidR="00946A79" w:rsidRPr="005306D6" w:rsidRDefault="00946A79" w:rsidP="005306D6">
            <w:pPr>
              <w:jc w:val="both"/>
              <w:rPr>
                <w:rFonts w:eastAsia="Times New Roman"/>
                <w:lang w:eastAsia="en-GB"/>
              </w:rPr>
            </w:pPr>
            <w:r w:rsidRPr="005306D6">
              <w:rPr>
                <w:rFonts w:eastAsia="Times New Roman"/>
                <w:lang w:eastAsia="en-GB"/>
              </w:rPr>
              <w:t>Caribbean</w:t>
            </w:r>
          </w:p>
        </w:tc>
        <w:tc>
          <w:tcPr>
            <w:tcW w:w="3857" w:type="dxa"/>
            <w:noWrap/>
            <w:hideMark/>
          </w:tcPr>
          <w:p w14:paraId="372232F2" w14:textId="77777777" w:rsidR="00946A79" w:rsidRPr="005306D6" w:rsidRDefault="00946A79" w:rsidP="005306D6">
            <w:pPr>
              <w:jc w:val="both"/>
              <w:rPr>
                <w:rFonts w:eastAsia="Times New Roman"/>
                <w:lang w:eastAsia="en-GB"/>
              </w:rPr>
            </w:pPr>
            <w:r w:rsidRPr="005306D6">
              <w:rPr>
                <w:rFonts w:eastAsia="Times New Roman"/>
                <w:lang w:eastAsia="en-GB"/>
              </w:rPr>
              <w:t>143</w:t>
            </w:r>
          </w:p>
        </w:tc>
      </w:tr>
      <w:tr w:rsidR="00946A79" w:rsidRPr="005306D6" w14:paraId="0801FDCD" w14:textId="77777777" w:rsidTr="00204BBE">
        <w:trPr>
          <w:trHeight w:val="300"/>
        </w:trPr>
        <w:tc>
          <w:tcPr>
            <w:tcW w:w="4360" w:type="dxa"/>
            <w:noWrap/>
            <w:hideMark/>
          </w:tcPr>
          <w:p w14:paraId="1C6050CE" w14:textId="77777777" w:rsidR="00946A79" w:rsidRPr="005306D6" w:rsidRDefault="00946A79" w:rsidP="005306D6">
            <w:pPr>
              <w:jc w:val="both"/>
              <w:rPr>
                <w:rFonts w:eastAsia="Times New Roman"/>
                <w:lang w:eastAsia="en-GB"/>
              </w:rPr>
            </w:pPr>
            <w:r w:rsidRPr="005306D6">
              <w:rPr>
                <w:rFonts w:eastAsia="Times New Roman"/>
                <w:lang w:eastAsia="en-GB"/>
              </w:rPr>
              <w:t>Chinese</w:t>
            </w:r>
          </w:p>
        </w:tc>
        <w:tc>
          <w:tcPr>
            <w:tcW w:w="3857" w:type="dxa"/>
            <w:noWrap/>
            <w:hideMark/>
          </w:tcPr>
          <w:p w14:paraId="3608BB30" w14:textId="77777777" w:rsidR="00946A79" w:rsidRPr="005306D6" w:rsidRDefault="00946A79" w:rsidP="005306D6">
            <w:pPr>
              <w:jc w:val="both"/>
              <w:rPr>
                <w:rFonts w:eastAsia="Times New Roman"/>
                <w:lang w:eastAsia="en-GB"/>
              </w:rPr>
            </w:pPr>
            <w:r w:rsidRPr="005306D6">
              <w:rPr>
                <w:rFonts w:eastAsia="Times New Roman"/>
                <w:lang w:eastAsia="en-GB"/>
              </w:rPr>
              <w:t>904</w:t>
            </w:r>
          </w:p>
        </w:tc>
      </w:tr>
      <w:tr w:rsidR="00946A79" w:rsidRPr="005306D6" w14:paraId="41465084" w14:textId="77777777" w:rsidTr="00204BBE">
        <w:trPr>
          <w:trHeight w:val="300"/>
        </w:trPr>
        <w:tc>
          <w:tcPr>
            <w:tcW w:w="4360" w:type="dxa"/>
            <w:noWrap/>
            <w:hideMark/>
          </w:tcPr>
          <w:p w14:paraId="4F726163" w14:textId="77777777" w:rsidR="00946A79" w:rsidRPr="005306D6" w:rsidRDefault="00946A79" w:rsidP="005306D6">
            <w:pPr>
              <w:jc w:val="both"/>
              <w:rPr>
                <w:rFonts w:eastAsia="Times New Roman"/>
                <w:lang w:eastAsia="en-GB"/>
              </w:rPr>
            </w:pPr>
            <w:r w:rsidRPr="005306D6">
              <w:rPr>
                <w:rFonts w:eastAsia="Times New Roman"/>
                <w:lang w:eastAsia="en-GB"/>
              </w:rPr>
              <w:t>Indian</w:t>
            </w:r>
          </w:p>
        </w:tc>
        <w:tc>
          <w:tcPr>
            <w:tcW w:w="3857" w:type="dxa"/>
            <w:noWrap/>
            <w:hideMark/>
          </w:tcPr>
          <w:p w14:paraId="720EEA7A" w14:textId="77777777" w:rsidR="00946A79" w:rsidRPr="005306D6" w:rsidRDefault="00946A79" w:rsidP="005306D6">
            <w:pPr>
              <w:jc w:val="both"/>
              <w:rPr>
                <w:rFonts w:eastAsia="Times New Roman"/>
                <w:lang w:eastAsia="en-GB"/>
              </w:rPr>
            </w:pPr>
            <w:r w:rsidRPr="005306D6">
              <w:rPr>
                <w:rFonts w:eastAsia="Times New Roman"/>
                <w:lang w:eastAsia="en-GB"/>
              </w:rPr>
              <w:t>1,647</w:t>
            </w:r>
          </w:p>
        </w:tc>
      </w:tr>
      <w:tr w:rsidR="00946A79" w:rsidRPr="005306D6" w14:paraId="3156DA55" w14:textId="77777777" w:rsidTr="00204BBE">
        <w:trPr>
          <w:trHeight w:val="300"/>
        </w:trPr>
        <w:tc>
          <w:tcPr>
            <w:tcW w:w="4360" w:type="dxa"/>
            <w:noWrap/>
            <w:hideMark/>
          </w:tcPr>
          <w:p w14:paraId="418BBE15" w14:textId="77777777" w:rsidR="00946A79" w:rsidRPr="005306D6" w:rsidRDefault="00946A79" w:rsidP="005306D6">
            <w:pPr>
              <w:jc w:val="both"/>
              <w:rPr>
                <w:rFonts w:eastAsia="Times New Roman"/>
                <w:lang w:eastAsia="en-GB"/>
              </w:rPr>
            </w:pPr>
            <w:r w:rsidRPr="005306D6">
              <w:rPr>
                <w:rFonts w:eastAsia="Times New Roman"/>
                <w:lang w:eastAsia="en-GB"/>
              </w:rPr>
              <w:t>Other African, Caribbean or Black</w:t>
            </w:r>
          </w:p>
        </w:tc>
        <w:tc>
          <w:tcPr>
            <w:tcW w:w="3857" w:type="dxa"/>
            <w:noWrap/>
            <w:hideMark/>
          </w:tcPr>
          <w:p w14:paraId="2907F536" w14:textId="77777777" w:rsidR="00946A79" w:rsidRPr="005306D6" w:rsidRDefault="00946A79" w:rsidP="005306D6">
            <w:pPr>
              <w:jc w:val="both"/>
              <w:rPr>
                <w:rFonts w:eastAsia="Times New Roman"/>
                <w:lang w:eastAsia="en-GB"/>
              </w:rPr>
            </w:pPr>
            <w:r w:rsidRPr="005306D6">
              <w:rPr>
                <w:rFonts w:eastAsia="Times New Roman"/>
                <w:lang w:eastAsia="en-GB"/>
              </w:rPr>
              <w:t>731</w:t>
            </w:r>
          </w:p>
        </w:tc>
      </w:tr>
      <w:tr w:rsidR="00946A79" w:rsidRPr="005306D6" w14:paraId="66BD7EAB" w14:textId="77777777" w:rsidTr="00204BBE">
        <w:trPr>
          <w:trHeight w:val="300"/>
        </w:trPr>
        <w:tc>
          <w:tcPr>
            <w:tcW w:w="4360" w:type="dxa"/>
            <w:noWrap/>
            <w:hideMark/>
          </w:tcPr>
          <w:p w14:paraId="6C02ADD1" w14:textId="77777777" w:rsidR="00946A79" w:rsidRPr="005306D6" w:rsidRDefault="00946A79" w:rsidP="005306D6">
            <w:pPr>
              <w:jc w:val="both"/>
              <w:rPr>
                <w:rFonts w:eastAsia="Times New Roman"/>
                <w:lang w:eastAsia="en-GB"/>
              </w:rPr>
            </w:pPr>
            <w:r w:rsidRPr="005306D6">
              <w:rPr>
                <w:rFonts w:eastAsia="Times New Roman"/>
                <w:lang w:eastAsia="en-GB"/>
              </w:rPr>
              <w:t>Other Asian</w:t>
            </w:r>
          </w:p>
        </w:tc>
        <w:tc>
          <w:tcPr>
            <w:tcW w:w="3857" w:type="dxa"/>
            <w:noWrap/>
            <w:hideMark/>
          </w:tcPr>
          <w:p w14:paraId="3DD31AF2" w14:textId="77777777" w:rsidR="00946A79" w:rsidRPr="005306D6" w:rsidRDefault="00946A79" w:rsidP="005306D6">
            <w:pPr>
              <w:jc w:val="both"/>
              <w:rPr>
                <w:rFonts w:eastAsia="Times New Roman"/>
                <w:lang w:eastAsia="en-GB"/>
              </w:rPr>
            </w:pPr>
            <w:r w:rsidRPr="005306D6">
              <w:rPr>
                <w:rFonts w:eastAsia="Times New Roman"/>
                <w:lang w:eastAsia="en-GB"/>
              </w:rPr>
              <w:t>2,652</w:t>
            </w:r>
          </w:p>
        </w:tc>
      </w:tr>
      <w:tr w:rsidR="00946A79" w:rsidRPr="005306D6" w14:paraId="084B6425" w14:textId="77777777" w:rsidTr="00204BBE">
        <w:trPr>
          <w:trHeight w:val="300"/>
        </w:trPr>
        <w:tc>
          <w:tcPr>
            <w:tcW w:w="4360" w:type="dxa"/>
            <w:noWrap/>
            <w:hideMark/>
          </w:tcPr>
          <w:p w14:paraId="0EB14E46" w14:textId="77777777" w:rsidR="00946A79" w:rsidRPr="005306D6" w:rsidRDefault="00946A79" w:rsidP="005306D6">
            <w:pPr>
              <w:jc w:val="both"/>
              <w:rPr>
                <w:rFonts w:eastAsia="Times New Roman"/>
                <w:lang w:eastAsia="en-GB"/>
              </w:rPr>
            </w:pPr>
            <w:r w:rsidRPr="005306D6">
              <w:rPr>
                <w:rFonts w:eastAsia="Times New Roman"/>
                <w:lang w:eastAsia="en-GB"/>
              </w:rPr>
              <w:lastRenderedPageBreak/>
              <w:t>Other Ethnic Group</w:t>
            </w:r>
          </w:p>
        </w:tc>
        <w:tc>
          <w:tcPr>
            <w:tcW w:w="3857" w:type="dxa"/>
            <w:noWrap/>
            <w:hideMark/>
          </w:tcPr>
          <w:p w14:paraId="43149957" w14:textId="77777777" w:rsidR="00946A79" w:rsidRPr="005306D6" w:rsidRDefault="00946A79" w:rsidP="005306D6">
            <w:pPr>
              <w:jc w:val="both"/>
              <w:rPr>
                <w:rFonts w:eastAsia="Times New Roman"/>
                <w:lang w:eastAsia="en-GB"/>
              </w:rPr>
            </w:pPr>
            <w:r w:rsidRPr="005306D6">
              <w:rPr>
                <w:rFonts w:eastAsia="Times New Roman"/>
                <w:lang w:eastAsia="en-GB"/>
              </w:rPr>
              <w:t>2,061</w:t>
            </w:r>
          </w:p>
        </w:tc>
      </w:tr>
      <w:tr w:rsidR="00946A79" w:rsidRPr="005306D6" w14:paraId="15ECBEE1" w14:textId="77777777" w:rsidTr="00204BBE">
        <w:trPr>
          <w:trHeight w:val="300"/>
        </w:trPr>
        <w:tc>
          <w:tcPr>
            <w:tcW w:w="4360" w:type="dxa"/>
            <w:noWrap/>
            <w:hideMark/>
          </w:tcPr>
          <w:p w14:paraId="4F4D8222" w14:textId="77777777" w:rsidR="00946A79" w:rsidRPr="005306D6" w:rsidRDefault="00946A79" w:rsidP="005306D6">
            <w:pPr>
              <w:jc w:val="both"/>
              <w:rPr>
                <w:rFonts w:eastAsia="Times New Roman"/>
                <w:lang w:eastAsia="en-GB"/>
              </w:rPr>
            </w:pPr>
            <w:r w:rsidRPr="005306D6">
              <w:rPr>
                <w:rFonts w:eastAsia="Times New Roman"/>
                <w:lang w:eastAsia="en-GB"/>
              </w:rPr>
              <w:t>Other White</w:t>
            </w:r>
          </w:p>
        </w:tc>
        <w:tc>
          <w:tcPr>
            <w:tcW w:w="3857" w:type="dxa"/>
            <w:noWrap/>
            <w:hideMark/>
          </w:tcPr>
          <w:p w14:paraId="6B863002" w14:textId="77777777" w:rsidR="00946A79" w:rsidRPr="005306D6" w:rsidRDefault="00946A79" w:rsidP="005306D6">
            <w:pPr>
              <w:jc w:val="both"/>
              <w:rPr>
                <w:rFonts w:eastAsia="Times New Roman"/>
                <w:lang w:eastAsia="en-GB"/>
              </w:rPr>
            </w:pPr>
            <w:r w:rsidRPr="005306D6">
              <w:rPr>
                <w:rFonts w:eastAsia="Times New Roman"/>
                <w:lang w:eastAsia="en-GB"/>
              </w:rPr>
              <w:t>10,225</w:t>
            </w:r>
          </w:p>
        </w:tc>
      </w:tr>
      <w:tr w:rsidR="00946A79" w:rsidRPr="005306D6" w14:paraId="5B976B69" w14:textId="77777777" w:rsidTr="00204BBE">
        <w:trPr>
          <w:trHeight w:val="300"/>
        </w:trPr>
        <w:tc>
          <w:tcPr>
            <w:tcW w:w="4360" w:type="dxa"/>
            <w:noWrap/>
            <w:hideMark/>
          </w:tcPr>
          <w:p w14:paraId="366384D9" w14:textId="77777777" w:rsidR="00946A79" w:rsidRPr="005306D6" w:rsidRDefault="00946A79" w:rsidP="005306D6">
            <w:pPr>
              <w:jc w:val="both"/>
              <w:rPr>
                <w:rFonts w:eastAsia="Times New Roman"/>
                <w:lang w:eastAsia="en-GB"/>
              </w:rPr>
            </w:pPr>
            <w:r w:rsidRPr="005306D6">
              <w:rPr>
                <w:rFonts w:eastAsia="Times New Roman"/>
                <w:lang w:eastAsia="en-GB"/>
              </w:rPr>
              <w:t>Pakistani</w:t>
            </w:r>
          </w:p>
        </w:tc>
        <w:tc>
          <w:tcPr>
            <w:tcW w:w="3857" w:type="dxa"/>
            <w:noWrap/>
            <w:hideMark/>
          </w:tcPr>
          <w:p w14:paraId="22EC3AC5" w14:textId="77777777" w:rsidR="00946A79" w:rsidRPr="005306D6" w:rsidRDefault="00946A79" w:rsidP="005306D6">
            <w:pPr>
              <w:jc w:val="both"/>
              <w:rPr>
                <w:rFonts w:eastAsia="Times New Roman"/>
                <w:lang w:eastAsia="en-GB"/>
              </w:rPr>
            </w:pPr>
            <w:r w:rsidRPr="005306D6">
              <w:rPr>
                <w:rFonts w:eastAsia="Times New Roman"/>
                <w:lang w:eastAsia="en-GB"/>
              </w:rPr>
              <w:t>3,092</w:t>
            </w:r>
          </w:p>
        </w:tc>
      </w:tr>
      <w:tr w:rsidR="00946A79" w:rsidRPr="005306D6" w14:paraId="419AA269" w14:textId="77777777" w:rsidTr="00204BBE">
        <w:trPr>
          <w:trHeight w:val="300"/>
        </w:trPr>
        <w:tc>
          <w:tcPr>
            <w:tcW w:w="4360" w:type="dxa"/>
            <w:noWrap/>
            <w:hideMark/>
          </w:tcPr>
          <w:p w14:paraId="5B007ECC" w14:textId="77777777" w:rsidR="00946A79" w:rsidRPr="005306D6" w:rsidRDefault="00946A79" w:rsidP="005306D6">
            <w:pPr>
              <w:jc w:val="both"/>
              <w:rPr>
                <w:rFonts w:eastAsia="Times New Roman"/>
                <w:lang w:eastAsia="en-GB"/>
              </w:rPr>
            </w:pPr>
            <w:r w:rsidRPr="005306D6">
              <w:rPr>
                <w:rFonts w:eastAsia="Times New Roman"/>
                <w:lang w:eastAsia="en-GB"/>
              </w:rPr>
              <w:t>White British</w:t>
            </w:r>
          </w:p>
        </w:tc>
        <w:tc>
          <w:tcPr>
            <w:tcW w:w="3857" w:type="dxa"/>
            <w:noWrap/>
            <w:hideMark/>
          </w:tcPr>
          <w:p w14:paraId="3D0D4847" w14:textId="77777777" w:rsidR="00946A79" w:rsidRPr="005306D6" w:rsidRDefault="00946A79" w:rsidP="005306D6">
            <w:pPr>
              <w:jc w:val="both"/>
              <w:rPr>
                <w:rFonts w:eastAsia="Times New Roman"/>
                <w:lang w:eastAsia="en-GB"/>
              </w:rPr>
            </w:pPr>
            <w:r w:rsidRPr="005306D6">
              <w:rPr>
                <w:rFonts w:eastAsia="Times New Roman"/>
                <w:lang w:eastAsia="en-GB"/>
              </w:rPr>
              <w:t>66,334</w:t>
            </w:r>
          </w:p>
        </w:tc>
      </w:tr>
      <w:tr w:rsidR="00946A79" w:rsidRPr="005306D6" w14:paraId="7E4D8F0B" w14:textId="77777777" w:rsidTr="00204BBE">
        <w:trPr>
          <w:trHeight w:val="300"/>
        </w:trPr>
        <w:tc>
          <w:tcPr>
            <w:tcW w:w="4360" w:type="dxa"/>
            <w:noWrap/>
            <w:hideMark/>
          </w:tcPr>
          <w:p w14:paraId="64556F15" w14:textId="77777777" w:rsidR="00946A79" w:rsidRPr="005306D6" w:rsidRDefault="00946A79" w:rsidP="005306D6">
            <w:pPr>
              <w:jc w:val="both"/>
              <w:rPr>
                <w:rFonts w:eastAsia="Times New Roman"/>
                <w:lang w:eastAsia="en-GB"/>
              </w:rPr>
            </w:pPr>
            <w:r w:rsidRPr="005306D6">
              <w:rPr>
                <w:rFonts w:eastAsia="Times New Roman"/>
                <w:lang w:eastAsia="en-GB"/>
              </w:rPr>
              <w:t>White English</w:t>
            </w:r>
          </w:p>
        </w:tc>
        <w:tc>
          <w:tcPr>
            <w:tcW w:w="3857" w:type="dxa"/>
            <w:noWrap/>
            <w:hideMark/>
          </w:tcPr>
          <w:p w14:paraId="3C9369C5" w14:textId="77777777" w:rsidR="00946A79" w:rsidRPr="005306D6" w:rsidRDefault="00946A79" w:rsidP="005306D6">
            <w:pPr>
              <w:jc w:val="both"/>
              <w:rPr>
                <w:rFonts w:eastAsia="Times New Roman"/>
                <w:lang w:eastAsia="en-GB"/>
              </w:rPr>
            </w:pPr>
            <w:r w:rsidRPr="005306D6">
              <w:rPr>
                <w:rFonts w:eastAsia="Times New Roman"/>
                <w:lang w:eastAsia="en-GB"/>
              </w:rPr>
              <w:t>9,300</w:t>
            </w:r>
          </w:p>
        </w:tc>
      </w:tr>
      <w:tr w:rsidR="00946A79" w:rsidRPr="005306D6" w14:paraId="332E8E6D" w14:textId="77777777" w:rsidTr="00204BBE">
        <w:trPr>
          <w:trHeight w:val="300"/>
        </w:trPr>
        <w:tc>
          <w:tcPr>
            <w:tcW w:w="4360" w:type="dxa"/>
            <w:noWrap/>
            <w:hideMark/>
          </w:tcPr>
          <w:p w14:paraId="00758918" w14:textId="77777777" w:rsidR="00946A79" w:rsidRPr="005306D6" w:rsidRDefault="00946A79" w:rsidP="005306D6">
            <w:pPr>
              <w:jc w:val="both"/>
              <w:rPr>
                <w:rFonts w:eastAsia="Times New Roman"/>
                <w:lang w:eastAsia="en-GB"/>
              </w:rPr>
            </w:pPr>
            <w:r w:rsidRPr="005306D6">
              <w:rPr>
                <w:rFonts w:eastAsia="Times New Roman"/>
                <w:lang w:eastAsia="en-GB"/>
              </w:rPr>
              <w:t>White Gypsy/Traveller</w:t>
            </w:r>
          </w:p>
        </w:tc>
        <w:tc>
          <w:tcPr>
            <w:tcW w:w="3857" w:type="dxa"/>
            <w:noWrap/>
            <w:hideMark/>
          </w:tcPr>
          <w:p w14:paraId="38190701" w14:textId="77777777" w:rsidR="00946A79" w:rsidRPr="005306D6" w:rsidRDefault="00946A79" w:rsidP="005306D6">
            <w:pPr>
              <w:jc w:val="both"/>
              <w:rPr>
                <w:rFonts w:eastAsia="Times New Roman"/>
                <w:lang w:eastAsia="en-GB"/>
              </w:rPr>
            </w:pPr>
            <w:r w:rsidRPr="005306D6">
              <w:rPr>
                <w:rFonts w:eastAsia="Times New Roman"/>
                <w:lang w:eastAsia="en-GB"/>
              </w:rPr>
              <w:t>755</w:t>
            </w:r>
          </w:p>
        </w:tc>
      </w:tr>
      <w:tr w:rsidR="00946A79" w:rsidRPr="005306D6" w14:paraId="5499559B" w14:textId="77777777" w:rsidTr="00204BBE">
        <w:trPr>
          <w:trHeight w:val="300"/>
        </w:trPr>
        <w:tc>
          <w:tcPr>
            <w:tcW w:w="4360" w:type="dxa"/>
            <w:noWrap/>
            <w:hideMark/>
          </w:tcPr>
          <w:p w14:paraId="1C1AC178" w14:textId="77777777" w:rsidR="00946A79" w:rsidRPr="005306D6" w:rsidRDefault="00946A79" w:rsidP="005306D6">
            <w:pPr>
              <w:jc w:val="both"/>
              <w:rPr>
                <w:rFonts w:eastAsia="Times New Roman"/>
                <w:lang w:eastAsia="en-GB"/>
              </w:rPr>
            </w:pPr>
            <w:r w:rsidRPr="005306D6">
              <w:rPr>
                <w:rFonts w:eastAsia="Times New Roman"/>
                <w:lang w:eastAsia="en-GB"/>
              </w:rPr>
              <w:t>White Irish</w:t>
            </w:r>
          </w:p>
        </w:tc>
        <w:tc>
          <w:tcPr>
            <w:tcW w:w="3857" w:type="dxa"/>
            <w:noWrap/>
            <w:hideMark/>
          </w:tcPr>
          <w:p w14:paraId="497CD237" w14:textId="77777777" w:rsidR="00946A79" w:rsidRPr="005306D6" w:rsidRDefault="00946A79" w:rsidP="005306D6">
            <w:pPr>
              <w:jc w:val="both"/>
              <w:rPr>
                <w:rFonts w:eastAsia="Times New Roman"/>
                <w:lang w:eastAsia="en-GB"/>
              </w:rPr>
            </w:pPr>
            <w:r w:rsidRPr="005306D6">
              <w:rPr>
                <w:rFonts w:eastAsia="Times New Roman"/>
                <w:lang w:eastAsia="en-GB"/>
              </w:rPr>
              <w:t>1,336</w:t>
            </w:r>
          </w:p>
        </w:tc>
      </w:tr>
      <w:tr w:rsidR="00946A79" w:rsidRPr="005306D6" w14:paraId="301723A7" w14:textId="77777777" w:rsidTr="00204BBE">
        <w:trPr>
          <w:trHeight w:val="300"/>
        </w:trPr>
        <w:tc>
          <w:tcPr>
            <w:tcW w:w="4360" w:type="dxa"/>
            <w:noWrap/>
            <w:hideMark/>
          </w:tcPr>
          <w:p w14:paraId="1975FC0B" w14:textId="77777777" w:rsidR="00946A79" w:rsidRPr="005306D6" w:rsidRDefault="00946A79" w:rsidP="005306D6">
            <w:pPr>
              <w:jc w:val="both"/>
              <w:rPr>
                <w:rFonts w:eastAsia="Times New Roman"/>
                <w:lang w:eastAsia="en-GB"/>
              </w:rPr>
            </w:pPr>
            <w:r w:rsidRPr="005306D6">
              <w:rPr>
                <w:rFonts w:eastAsia="Times New Roman"/>
                <w:lang w:eastAsia="en-GB"/>
              </w:rPr>
              <w:t>White Northern Ireland</w:t>
            </w:r>
          </w:p>
        </w:tc>
        <w:tc>
          <w:tcPr>
            <w:tcW w:w="3857" w:type="dxa"/>
            <w:noWrap/>
            <w:hideMark/>
          </w:tcPr>
          <w:p w14:paraId="5E52F894" w14:textId="77777777" w:rsidR="00946A79" w:rsidRPr="005306D6" w:rsidRDefault="00946A79" w:rsidP="005306D6">
            <w:pPr>
              <w:jc w:val="both"/>
              <w:rPr>
                <w:rFonts w:eastAsia="Times New Roman"/>
                <w:lang w:eastAsia="en-GB"/>
              </w:rPr>
            </w:pPr>
            <w:r w:rsidRPr="005306D6">
              <w:rPr>
                <w:rFonts w:eastAsia="Times New Roman"/>
                <w:lang w:eastAsia="en-GB"/>
              </w:rPr>
              <w:t>511</w:t>
            </w:r>
          </w:p>
        </w:tc>
      </w:tr>
      <w:tr w:rsidR="00946A79" w:rsidRPr="005306D6" w14:paraId="5A2BDC94" w14:textId="77777777" w:rsidTr="00204BBE">
        <w:trPr>
          <w:trHeight w:val="300"/>
        </w:trPr>
        <w:tc>
          <w:tcPr>
            <w:tcW w:w="4360" w:type="dxa"/>
            <w:noWrap/>
            <w:hideMark/>
          </w:tcPr>
          <w:p w14:paraId="02BF8800" w14:textId="77777777" w:rsidR="00946A79" w:rsidRPr="005306D6" w:rsidRDefault="00946A79" w:rsidP="005306D6">
            <w:pPr>
              <w:jc w:val="both"/>
              <w:rPr>
                <w:rFonts w:eastAsia="Times New Roman"/>
                <w:lang w:eastAsia="en-GB"/>
              </w:rPr>
            </w:pPr>
            <w:r w:rsidRPr="005306D6">
              <w:rPr>
                <w:rFonts w:eastAsia="Times New Roman"/>
                <w:lang w:eastAsia="en-GB"/>
              </w:rPr>
              <w:t>White Polish</w:t>
            </w:r>
          </w:p>
        </w:tc>
        <w:tc>
          <w:tcPr>
            <w:tcW w:w="3857" w:type="dxa"/>
            <w:noWrap/>
            <w:hideMark/>
          </w:tcPr>
          <w:p w14:paraId="08D122AC" w14:textId="77777777" w:rsidR="00946A79" w:rsidRPr="005306D6" w:rsidRDefault="00946A79" w:rsidP="005306D6">
            <w:pPr>
              <w:jc w:val="both"/>
              <w:rPr>
                <w:rFonts w:eastAsia="Times New Roman"/>
                <w:lang w:eastAsia="en-GB"/>
              </w:rPr>
            </w:pPr>
            <w:r w:rsidRPr="005306D6">
              <w:rPr>
                <w:rFonts w:eastAsia="Times New Roman"/>
                <w:lang w:eastAsia="en-GB"/>
              </w:rPr>
              <w:t>10,414</w:t>
            </w:r>
          </w:p>
        </w:tc>
      </w:tr>
      <w:tr w:rsidR="00946A79" w:rsidRPr="005306D6" w14:paraId="3E51B1F8" w14:textId="77777777" w:rsidTr="00204BBE">
        <w:trPr>
          <w:trHeight w:val="300"/>
        </w:trPr>
        <w:tc>
          <w:tcPr>
            <w:tcW w:w="4360" w:type="dxa"/>
            <w:noWrap/>
            <w:hideMark/>
          </w:tcPr>
          <w:p w14:paraId="5FB9FE29" w14:textId="77777777" w:rsidR="00946A79" w:rsidRPr="005306D6" w:rsidRDefault="00946A79" w:rsidP="005306D6">
            <w:pPr>
              <w:jc w:val="both"/>
              <w:rPr>
                <w:rFonts w:eastAsia="Times New Roman"/>
                <w:lang w:eastAsia="en-GB"/>
              </w:rPr>
            </w:pPr>
            <w:r w:rsidRPr="005306D6">
              <w:rPr>
                <w:rFonts w:eastAsia="Times New Roman"/>
                <w:lang w:eastAsia="en-GB"/>
              </w:rPr>
              <w:t>White Scottish</w:t>
            </w:r>
          </w:p>
        </w:tc>
        <w:tc>
          <w:tcPr>
            <w:tcW w:w="3857" w:type="dxa"/>
            <w:noWrap/>
            <w:hideMark/>
          </w:tcPr>
          <w:p w14:paraId="7D5844BB" w14:textId="77777777" w:rsidR="00946A79" w:rsidRPr="005306D6" w:rsidRDefault="00946A79" w:rsidP="005306D6">
            <w:pPr>
              <w:jc w:val="both"/>
              <w:rPr>
                <w:rFonts w:eastAsia="Times New Roman"/>
                <w:lang w:eastAsia="en-GB"/>
              </w:rPr>
            </w:pPr>
            <w:r w:rsidRPr="005306D6">
              <w:rPr>
                <w:rFonts w:eastAsia="Times New Roman"/>
                <w:lang w:eastAsia="en-GB"/>
              </w:rPr>
              <w:t>251,140</w:t>
            </w:r>
          </w:p>
        </w:tc>
      </w:tr>
      <w:tr w:rsidR="00946A79" w:rsidRPr="005306D6" w14:paraId="6B18E3F6" w14:textId="77777777" w:rsidTr="00204BBE">
        <w:trPr>
          <w:trHeight w:val="300"/>
        </w:trPr>
        <w:tc>
          <w:tcPr>
            <w:tcW w:w="4360" w:type="dxa"/>
            <w:noWrap/>
            <w:hideMark/>
          </w:tcPr>
          <w:p w14:paraId="5F2550A2" w14:textId="77777777" w:rsidR="00946A79" w:rsidRPr="005306D6" w:rsidRDefault="00946A79" w:rsidP="005306D6">
            <w:pPr>
              <w:jc w:val="both"/>
              <w:rPr>
                <w:rFonts w:eastAsia="Times New Roman"/>
                <w:lang w:eastAsia="en-GB"/>
              </w:rPr>
            </w:pPr>
            <w:r w:rsidRPr="005306D6">
              <w:rPr>
                <w:rFonts w:eastAsia="Times New Roman"/>
                <w:lang w:eastAsia="en-GB"/>
              </w:rPr>
              <w:t>White Welsh</w:t>
            </w:r>
          </w:p>
        </w:tc>
        <w:tc>
          <w:tcPr>
            <w:tcW w:w="3857" w:type="dxa"/>
            <w:noWrap/>
            <w:hideMark/>
          </w:tcPr>
          <w:p w14:paraId="35933304" w14:textId="77777777" w:rsidR="00946A79" w:rsidRPr="005306D6" w:rsidRDefault="00946A79" w:rsidP="005306D6">
            <w:pPr>
              <w:jc w:val="both"/>
              <w:rPr>
                <w:rFonts w:eastAsia="Times New Roman"/>
                <w:lang w:eastAsia="en-GB"/>
              </w:rPr>
            </w:pPr>
            <w:r w:rsidRPr="005306D6">
              <w:rPr>
                <w:rFonts w:eastAsia="Times New Roman"/>
                <w:lang w:eastAsia="en-GB"/>
              </w:rPr>
              <w:t>772</w:t>
            </w:r>
          </w:p>
        </w:tc>
      </w:tr>
      <w:tr w:rsidR="00946A79" w:rsidRPr="005306D6" w14:paraId="6A305AA3" w14:textId="77777777" w:rsidTr="00204BBE">
        <w:trPr>
          <w:trHeight w:val="300"/>
        </w:trPr>
        <w:tc>
          <w:tcPr>
            <w:tcW w:w="4360" w:type="dxa"/>
            <w:noWrap/>
            <w:hideMark/>
          </w:tcPr>
          <w:p w14:paraId="34EE4775" w14:textId="77777777" w:rsidR="00946A79" w:rsidRPr="005306D6" w:rsidRDefault="00946A79" w:rsidP="005306D6">
            <w:pPr>
              <w:jc w:val="both"/>
              <w:rPr>
                <w:rFonts w:eastAsia="Times New Roman"/>
                <w:lang w:eastAsia="en-GB"/>
              </w:rPr>
            </w:pPr>
            <w:r w:rsidRPr="005306D6">
              <w:rPr>
                <w:rFonts w:eastAsia="Times New Roman"/>
                <w:lang w:eastAsia="en-GB"/>
              </w:rPr>
              <w:t>Not Recorded</w:t>
            </w:r>
          </w:p>
        </w:tc>
        <w:tc>
          <w:tcPr>
            <w:tcW w:w="3857" w:type="dxa"/>
            <w:noWrap/>
            <w:hideMark/>
          </w:tcPr>
          <w:p w14:paraId="34382D58" w14:textId="77777777" w:rsidR="00946A79" w:rsidRPr="005306D6" w:rsidRDefault="00946A79" w:rsidP="005306D6">
            <w:pPr>
              <w:jc w:val="both"/>
              <w:rPr>
                <w:rFonts w:eastAsia="Times New Roman"/>
                <w:lang w:eastAsia="en-GB"/>
              </w:rPr>
            </w:pPr>
            <w:r w:rsidRPr="005306D6">
              <w:rPr>
                <w:rFonts w:eastAsia="Times New Roman"/>
                <w:lang w:eastAsia="en-GB"/>
              </w:rPr>
              <w:t>13,887</w:t>
            </w:r>
          </w:p>
        </w:tc>
      </w:tr>
      <w:tr w:rsidR="00946A79" w:rsidRPr="005306D6" w14:paraId="736FBB8A" w14:textId="77777777" w:rsidTr="00204BBE">
        <w:trPr>
          <w:trHeight w:val="315"/>
        </w:trPr>
        <w:tc>
          <w:tcPr>
            <w:tcW w:w="4360" w:type="dxa"/>
            <w:noWrap/>
            <w:hideMark/>
          </w:tcPr>
          <w:p w14:paraId="5C121EF7" w14:textId="77777777" w:rsidR="00946A79" w:rsidRPr="005306D6" w:rsidRDefault="00946A79" w:rsidP="005306D6">
            <w:pPr>
              <w:jc w:val="both"/>
              <w:rPr>
                <w:rFonts w:eastAsia="Times New Roman"/>
                <w:b/>
                <w:bCs/>
                <w:lang w:eastAsia="en-GB"/>
              </w:rPr>
            </w:pPr>
            <w:r w:rsidRPr="005306D6">
              <w:rPr>
                <w:rFonts w:eastAsia="Times New Roman"/>
                <w:b/>
                <w:bCs/>
                <w:lang w:eastAsia="en-GB"/>
              </w:rPr>
              <w:t>Grand Total</w:t>
            </w:r>
          </w:p>
        </w:tc>
        <w:tc>
          <w:tcPr>
            <w:tcW w:w="3857" w:type="dxa"/>
            <w:noWrap/>
            <w:hideMark/>
          </w:tcPr>
          <w:p w14:paraId="3E3ADE52" w14:textId="77777777" w:rsidR="00946A79" w:rsidRPr="005306D6" w:rsidRDefault="00946A79" w:rsidP="005306D6">
            <w:pPr>
              <w:jc w:val="both"/>
              <w:rPr>
                <w:rFonts w:eastAsia="Times New Roman"/>
                <w:b/>
                <w:bCs/>
                <w:lang w:eastAsia="en-GB"/>
              </w:rPr>
            </w:pPr>
            <w:r w:rsidRPr="005306D6">
              <w:rPr>
                <w:rFonts w:eastAsia="Times New Roman"/>
                <w:b/>
                <w:bCs/>
                <w:lang w:eastAsia="en-GB"/>
              </w:rPr>
              <w:t>382,169</w:t>
            </w:r>
          </w:p>
        </w:tc>
      </w:tr>
    </w:tbl>
    <w:p w14:paraId="7ECC2FCF" w14:textId="77777777" w:rsidR="00F218BA" w:rsidRPr="005306D6" w:rsidRDefault="00F218BA" w:rsidP="005306D6">
      <w:pPr>
        <w:jc w:val="both"/>
        <w:rPr>
          <w:rFonts w:eastAsia="Times New Roman"/>
          <w:b/>
          <w:bCs/>
          <w:lang w:eastAsia="en-GB"/>
        </w:rPr>
      </w:pPr>
    </w:p>
    <w:p w14:paraId="07F57333" w14:textId="2B7AB487" w:rsidR="00C76724" w:rsidRPr="005306D6" w:rsidRDefault="00C76724" w:rsidP="005306D6">
      <w:pPr>
        <w:pStyle w:val="ListParagraph"/>
        <w:numPr>
          <w:ilvl w:val="0"/>
          <w:numId w:val="17"/>
        </w:numPr>
        <w:jc w:val="both"/>
        <w:rPr>
          <w:rFonts w:eastAsia="Times New Roman"/>
          <w:b/>
          <w:bCs/>
          <w:lang w:eastAsia="en-GB"/>
        </w:rPr>
      </w:pPr>
      <w:r w:rsidRPr="005306D6">
        <w:rPr>
          <w:rFonts w:eastAsia="Times New Roman"/>
          <w:b/>
          <w:bCs/>
          <w:lang w:eastAsia="en-GB"/>
        </w:rPr>
        <w:t xml:space="preserve">The age of the victims </w:t>
      </w:r>
    </w:p>
    <w:p w14:paraId="2B6C0F58" w14:textId="3FB70429" w:rsidR="00F218BA" w:rsidRPr="005A698F" w:rsidRDefault="00F218BA" w:rsidP="005306D6">
      <w:pPr>
        <w:jc w:val="both"/>
        <w:rPr>
          <w:rFonts w:eastAsia="Times New Roman"/>
          <w:b/>
          <w:bCs/>
          <w:lang w:eastAsia="en-GB"/>
        </w:rPr>
      </w:pPr>
      <w:r w:rsidRPr="005306D6">
        <w:t xml:space="preserve">This information is available </w:t>
      </w:r>
      <w:r w:rsidR="00EB6DA7">
        <w:t>within</w:t>
      </w:r>
      <w:r w:rsidRPr="005306D6">
        <w:t xml:space="preserve"> the included links</w:t>
      </w:r>
      <w:r w:rsidR="0036127E">
        <w:t xml:space="preserve"> above</w:t>
      </w:r>
      <w:r w:rsidRPr="005306D6">
        <w:t xml:space="preserve">. </w:t>
      </w:r>
    </w:p>
    <w:p w14:paraId="12EDF849" w14:textId="414266BC" w:rsidR="00F218BA" w:rsidRPr="005306D6" w:rsidRDefault="00F218BA" w:rsidP="005306D6">
      <w:pPr>
        <w:jc w:val="both"/>
        <w:rPr>
          <w:rFonts w:eastAsia="Times New Roman"/>
          <w:lang w:eastAsia="en-GB"/>
        </w:rPr>
      </w:pPr>
      <w:r w:rsidRPr="005306D6">
        <w:rPr>
          <w:rFonts w:eastAsia="Times New Roman"/>
          <w:lang w:eastAsia="en-GB"/>
        </w:rPr>
        <w:t>Please note the caveats below:</w:t>
      </w:r>
    </w:p>
    <w:p w14:paraId="45CC59D5" w14:textId="77777777" w:rsidR="00C76724" w:rsidRPr="005306D6" w:rsidRDefault="00C76724" w:rsidP="005306D6">
      <w:pPr>
        <w:pStyle w:val="ListParagraph"/>
        <w:numPr>
          <w:ilvl w:val="0"/>
          <w:numId w:val="14"/>
        </w:numPr>
        <w:tabs>
          <w:tab w:val="left" w:pos="5400"/>
        </w:tabs>
        <w:jc w:val="both"/>
        <w:rPr>
          <w:rFonts w:eastAsiaTheme="majorEastAsia"/>
          <w:color w:val="000000" w:themeColor="text1"/>
        </w:rPr>
      </w:pPr>
      <w:r w:rsidRPr="005306D6">
        <w:rPr>
          <w:rFonts w:eastAsiaTheme="majorEastAsia"/>
          <w:color w:val="000000" w:themeColor="text1"/>
        </w:rPr>
        <w:t xml:space="preserve">All statistics are provisional and should be treated as management information. </w:t>
      </w:r>
    </w:p>
    <w:p w14:paraId="4B9F2681" w14:textId="55D71CA6" w:rsidR="00C76724" w:rsidRPr="005306D6" w:rsidRDefault="00F218BA" w:rsidP="005306D6">
      <w:pPr>
        <w:pStyle w:val="ListParagraph"/>
        <w:numPr>
          <w:ilvl w:val="0"/>
          <w:numId w:val="14"/>
        </w:numPr>
        <w:tabs>
          <w:tab w:val="left" w:pos="5400"/>
        </w:tabs>
        <w:jc w:val="both"/>
        <w:rPr>
          <w:rFonts w:eastAsiaTheme="majorEastAsia"/>
          <w:color w:val="000000" w:themeColor="text1"/>
        </w:rPr>
      </w:pPr>
      <w:r w:rsidRPr="005306D6">
        <w:rPr>
          <w:rFonts w:eastAsiaTheme="majorEastAsia"/>
          <w:color w:val="000000" w:themeColor="text1"/>
        </w:rPr>
        <w:t xml:space="preserve">The data provided within the tables </w:t>
      </w:r>
      <w:r w:rsidR="00C76724" w:rsidRPr="005306D6">
        <w:rPr>
          <w:rFonts w:eastAsiaTheme="majorEastAsia"/>
          <w:color w:val="000000" w:themeColor="text1"/>
        </w:rPr>
        <w:t>have been extracted from Police Scotland internal systems (iVPD) and are correct at 3</w:t>
      </w:r>
      <w:r w:rsidR="00C76724" w:rsidRPr="005306D6">
        <w:rPr>
          <w:rFonts w:eastAsiaTheme="majorEastAsia"/>
          <w:color w:val="000000" w:themeColor="text1"/>
          <w:vertAlign w:val="superscript"/>
        </w:rPr>
        <w:t>rd</w:t>
      </w:r>
      <w:r w:rsidR="00C76724" w:rsidRPr="005306D6">
        <w:rPr>
          <w:rFonts w:eastAsiaTheme="majorEastAsia"/>
          <w:color w:val="000000" w:themeColor="text1"/>
        </w:rPr>
        <w:t xml:space="preserve"> May 2024*. </w:t>
      </w:r>
    </w:p>
    <w:p w14:paraId="339512CF" w14:textId="77777777" w:rsidR="00C76724" w:rsidRPr="005306D6" w:rsidRDefault="00C76724" w:rsidP="005306D6">
      <w:pPr>
        <w:pStyle w:val="ListParagraph"/>
        <w:numPr>
          <w:ilvl w:val="0"/>
          <w:numId w:val="14"/>
        </w:numPr>
        <w:tabs>
          <w:tab w:val="left" w:pos="5400"/>
        </w:tabs>
        <w:jc w:val="both"/>
        <w:rPr>
          <w:rFonts w:eastAsiaTheme="majorEastAsia"/>
          <w:color w:val="000000" w:themeColor="text1"/>
        </w:rPr>
      </w:pPr>
      <w:r w:rsidRPr="005306D6">
        <w:rPr>
          <w:rFonts w:eastAsiaTheme="majorEastAsia"/>
          <w:color w:val="000000" w:themeColor="text1"/>
        </w:rPr>
        <w:t xml:space="preserve">The data was extracted using the incident's raised date. </w:t>
      </w:r>
    </w:p>
    <w:p w14:paraId="78FF50E8" w14:textId="77777777" w:rsidR="00C76724" w:rsidRPr="005306D6" w:rsidRDefault="00C76724" w:rsidP="005306D6">
      <w:pPr>
        <w:pStyle w:val="ListParagraph"/>
        <w:numPr>
          <w:ilvl w:val="0"/>
          <w:numId w:val="14"/>
        </w:numPr>
        <w:tabs>
          <w:tab w:val="left" w:pos="5400"/>
        </w:tabs>
        <w:jc w:val="both"/>
        <w:rPr>
          <w:rFonts w:eastAsiaTheme="majorEastAsia"/>
          <w:color w:val="000000" w:themeColor="text1"/>
        </w:rPr>
      </w:pPr>
      <w:r w:rsidRPr="005306D6">
        <w:rPr>
          <w:rFonts w:eastAsiaTheme="majorEastAsia"/>
          <w:color w:val="000000" w:themeColor="text1"/>
        </w:rPr>
        <w:t xml:space="preserve">Police Scotland does not retain any information for statistical purposes once a record has been weeded from iVPD.  When a record is weeded, it is removed from the </w:t>
      </w:r>
      <w:r w:rsidRPr="005306D6">
        <w:rPr>
          <w:rFonts w:eastAsiaTheme="majorEastAsia"/>
          <w:color w:val="000000" w:themeColor="text1"/>
        </w:rPr>
        <w:lastRenderedPageBreak/>
        <w:t>system, and there is no retention of data outside the weeding and retention policy.  Please note, the weeding and retention policy states that if a person is recorded as "no concern / not applicable" then this will only be retained for six months.</w:t>
      </w:r>
    </w:p>
    <w:p w14:paraId="6DAE8342" w14:textId="6B2760E6" w:rsidR="00B26EEF" w:rsidRDefault="00E07EEE" w:rsidP="0036127E">
      <w:pPr>
        <w:jc w:val="both"/>
        <w:rPr>
          <w:rStyle w:val="Hyperlink"/>
          <w:color w:val="auto"/>
          <w:u w:val="none"/>
        </w:rPr>
      </w:pPr>
      <w:r w:rsidRPr="005306D6">
        <w:t xml:space="preserve">You </w:t>
      </w:r>
      <w:r w:rsidR="00BD1CC7" w:rsidRPr="005306D6">
        <w:t>will</w:t>
      </w:r>
      <w:r w:rsidRPr="005306D6">
        <w:t xml:space="preserve"> also find </w:t>
      </w:r>
      <w:r w:rsidR="00BD1CC7" w:rsidRPr="005306D6">
        <w:t xml:space="preserve">statistical </w:t>
      </w:r>
      <w:r w:rsidRPr="005306D6">
        <w:t>information published by the Scottish Government (provided by Police Scotland) via the link</w:t>
      </w:r>
      <w:r w:rsidR="00F55591" w:rsidRPr="005306D6">
        <w:t>s</w:t>
      </w:r>
      <w:r w:rsidR="00EB6DA7">
        <w:t xml:space="preserve"> above</w:t>
      </w:r>
      <w:r w:rsidR="00F55591" w:rsidRPr="005306D6">
        <w:t xml:space="preserve">. </w:t>
      </w:r>
    </w:p>
    <w:p w14:paraId="584FFC81" w14:textId="77777777" w:rsidR="0036127E" w:rsidRPr="005306D6" w:rsidRDefault="0036127E" w:rsidP="0036127E">
      <w:pPr>
        <w:jc w:val="both"/>
      </w:pPr>
    </w:p>
    <w:p w14:paraId="4E0CB2CB" w14:textId="77777777" w:rsidR="00BD1CC7" w:rsidRPr="005306D6" w:rsidRDefault="00BD1CC7" w:rsidP="005306D6">
      <w:pPr>
        <w:pStyle w:val="Heading2"/>
        <w:numPr>
          <w:ilvl w:val="0"/>
          <w:numId w:val="7"/>
        </w:numPr>
        <w:jc w:val="both"/>
        <w:rPr>
          <w:rFonts w:cs="Arial"/>
          <w:szCs w:val="24"/>
        </w:rPr>
      </w:pPr>
      <w:r w:rsidRPr="005306D6">
        <w:rPr>
          <w:rFonts w:eastAsia="Times New Roman" w:cs="Arial"/>
          <w:szCs w:val="24"/>
          <w:lang w:eastAsia="en-GB"/>
        </w:rPr>
        <w:t xml:space="preserve">Of those reported, how many cases of domestic violence were followed up by a police officer?  </w:t>
      </w:r>
      <w:r w:rsidRPr="005306D6">
        <w:rPr>
          <w:rFonts w:cs="Arial"/>
          <w:szCs w:val="24"/>
        </w:rPr>
        <w:t>The term ‘followed up by a police officer’ is clarified as being either where an officer attended the scene OR attended the scene whilst the incident was ongoing.</w:t>
      </w:r>
    </w:p>
    <w:p w14:paraId="561DFBE0" w14:textId="503E0088" w:rsidR="005306D6" w:rsidRDefault="00E35661" w:rsidP="00EB6DA7">
      <w:pPr>
        <w:rPr>
          <w:lang w:eastAsia="en-GB"/>
        </w:rPr>
      </w:pPr>
      <w:r w:rsidRPr="005306D6">
        <w:rPr>
          <w:lang w:eastAsia="en-GB"/>
        </w:rPr>
        <w:t xml:space="preserve">Every incident of domestic abuse reported to the police will be </w:t>
      </w:r>
      <w:r w:rsidR="008109AD">
        <w:rPr>
          <w:lang w:eastAsia="en-GB"/>
        </w:rPr>
        <w:t>reviewed and</w:t>
      </w:r>
      <w:r w:rsidR="005306D6" w:rsidRPr="005306D6">
        <w:rPr>
          <w:lang w:eastAsia="en-GB"/>
        </w:rPr>
        <w:t xml:space="preserve"> investigated</w:t>
      </w:r>
      <w:r w:rsidRPr="005306D6">
        <w:rPr>
          <w:lang w:eastAsia="en-GB"/>
        </w:rPr>
        <w:t xml:space="preserve">. </w:t>
      </w:r>
      <w:r w:rsidR="00DF07AC" w:rsidRPr="005306D6">
        <w:rPr>
          <w:lang w:eastAsia="en-GB"/>
        </w:rPr>
        <w:t>Police Scotland treat all incidents of domestic abuse as high priority and will prioritise incidents to ensure that, as far as possible, any incident reported is met with an appropriate response by police officers.</w:t>
      </w:r>
    </w:p>
    <w:p w14:paraId="2FAA6B83" w14:textId="77777777" w:rsidR="005306D6" w:rsidRDefault="005306D6" w:rsidP="00EB6DA7">
      <w:pPr>
        <w:rPr>
          <w:lang w:eastAsia="en-GB"/>
        </w:rPr>
      </w:pPr>
      <w:r w:rsidRPr="005306D6">
        <w:t>THRIVE (Threat, Harm, Risk, Investigation, Vulnerability and Engagement) is the model used by Police Scotland to assess all contact and identify the most appropriate response. It is designed to ensure that we jointly assess risk and decision making in a consistent way and record our rationale.</w:t>
      </w:r>
    </w:p>
    <w:p w14:paraId="23BA3468" w14:textId="67F15082" w:rsidR="005306D6" w:rsidRPr="005306D6" w:rsidRDefault="00DF07AC" w:rsidP="00EB6DA7">
      <w:pPr>
        <w:rPr>
          <w:lang w:eastAsia="en-GB"/>
        </w:rPr>
      </w:pPr>
      <w:r w:rsidRPr="005306D6">
        <w:rPr>
          <w:lang w:eastAsia="en-GB"/>
        </w:rPr>
        <w:t xml:space="preserve">The initial priority for police officers attending a domestic abuse incident is the safety and well-being of the victims, their family and any other person present. The circumstances of a domestic abuse incident should not be looked at in isolation and officers must also have regard to the history and nature of the relationship and previous incidents. Careful consideration should be given to all relevant factors </w:t>
      </w:r>
      <w:r w:rsidR="00E35661" w:rsidRPr="005306D6">
        <w:rPr>
          <w:lang w:eastAsia="en-GB"/>
        </w:rPr>
        <w:t>(THRIVE)</w:t>
      </w:r>
      <w:r w:rsidRPr="005306D6">
        <w:rPr>
          <w:lang w:eastAsia="en-GB"/>
        </w:rPr>
        <w:t xml:space="preserve"> which will vary depending on the circumstances.</w:t>
      </w:r>
      <w:r w:rsidR="00E35661" w:rsidRPr="005306D6">
        <w:rPr>
          <w:lang w:eastAsia="en-GB"/>
        </w:rPr>
        <w:t xml:space="preserve"> </w:t>
      </w:r>
    </w:p>
    <w:p w14:paraId="6E35DFEE" w14:textId="0787BBA3" w:rsidR="00E35661" w:rsidRPr="005306D6" w:rsidRDefault="00E35661" w:rsidP="00EB6DA7">
      <w:r w:rsidRPr="005306D6">
        <w:rPr>
          <w:lang w:eastAsia="en-GB"/>
        </w:rPr>
        <w:t xml:space="preserve">The Police response should be victim led as much as possible. If the victim is reluctant to have Police attend at their home address, an agreed location to meet officers can be established. They can also attend at a local Police station. In either case, the victim should do so imminently </w:t>
      </w:r>
      <w:r w:rsidR="005306D6" w:rsidRPr="005306D6">
        <w:rPr>
          <w:lang w:eastAsia="en-GB"/>
        </w:rPr>
        <w:t>if</w:t>
      </w:r>
      <w:r w:rsidRPr="005306D6">
        <w:rPr>
          <w:lang w:eastAsia="en-GB"/>
        </w:rPr>
        <w:t xml:space="preserve"> there</w:t>
      </w:r>
      <w:r w:rsidR="005A698F">
        <w:rPr>
          <w:lang w:eastAsia="en-GB"/>
        </w:rPr>
        <w:t xml:space="preserve"> is</w:t>
      </w:r>
      <w:r w:rsidRPr="005306D6">
        <w:rPr>
          <w:lang w:eastAsia="en-GB"/>
        </w:rPr>
        <w:t> no risk involved in leaving their current location. A full and comprehensive THRIVE assessment should be carried out to enable informed decision making.</w:t>
      </w:r>
    </w:p>
    <w:p w14:paraId="601111C4" w14:textId="41B3FC01" w:rsidR="00E35661" w:rsidRPr="005306D6" w:rsidRDefault="00E35661" w:rsidP="00EB6DA7">
      <w:pPr>
        <w:rPr>
          <w:lang w:eastAsia="en-GB"/>
        </w:rPr>
      </w:pPr>
      <w:r w:rsidRPr="005306D6">
        <w:rPr>
          <w:lang w:eastAsia="en-GB"/>
        </w:rPr>
        <w:t xml:space="preserve">Given the unpredictable and often violent nature of domestic abuse, incidents should be </w:t>
      </w:r>
      <w:r w:rsidR="005306D6" w:rsidRPr="005306D6">
        <w:rPr>
          <w:lang w:eastAsia="en-GB"/>
        </w:rPr>
        <w:t>assessed,</w:t>
      </w:r>
      <w:r w:rsidRPr="005306D6">
        <w:rPr>
          <w:lang w:eastAsia="en-GB"/>
        </w:rPr>
        <w:t xml:space="preserve"> and consideration should always be given to the safety of the victim and </w:t>
      </w:r>
      <w:r w:rsidRPr="005306D6">
        <w:rPr>
          <w:lang w:eastAsia="en-GB"/>
        </w:rPr>
        <w:lastRenderedPageBreak/>
        <w:t xml:space="preserve">family, background history for the victim and suspect, severity of the </w:t>
      </w:r>
      <w:r w:rsidR="00C37BF4">
        <w:rPr>
          <w:lang w:eastAsia="en-GB"/>
        </w:rPr>
        <w:t>report</w:t>
      </w:r>
      <w:r w:rsidRPr="005306D6">
        <w:rPr>
          <w:lang w:eastAsia="en-GB"/>
        </w:rPr>
        <w:t xml:space="preserve"> and evidential opportunities which could diminish with time.  An incident may require an immediate or prompt response and fast tracked where necessary. </w:t>
      </w:r>
    </w:p>
    <w:p w14:paraId="2CD96A70" w14:textId="1456AB83" w:rsidR="00E35661" w:rsidRPr="005306D6" w:rsidRDefault="00E35661" w:rsidP="00EB6DA7">
      <w:pPr>
        <w:rPr>
          <w:lang w:eastAsia="en-GB"/>
        </w:rPr>
      </w:pPr>
      <w:r w:rsidRPr="005306D6">
        <w:rPr>
          <w:lang w:eastAsia="en-GB"/>
        </w:rPr>
        <w:t xml:space="preserve">As Police adopt a Duty-of-Care approach, they will attend at the locus if there is no engagement from the </w:t>
      </w:r>
      <w:r w:rsidR="00C37BF4">
        <w:rPr>
          <w:lang w:eastAsia="en-GB"/>
        </w:rPr>
        <w:t>victim</w:t>
      </w:r>
      <w:r w:rsidRPr="005306D6">
        <w:rPr>
          <w:lang w:eastAsia="en-GB"/>
        </w:rPr>
        <w:t>.</w:t>
      </w:r>
    </w:p>
    <w:p w14:paraId="2BD50B34" w14:textId="765DDB95" w:rsidR="00E35661" w:rsidRPr="005306D6" w:rsidRDefault="00E35661" w:rsidP="00EB6DA7">
      <w:pPr>
        <w:rPr>
          <w:lang w:eastAsia="en-GB"/>
        </w:rPr>
      </w:pPr>
      <w:r w:rsidRPr="005306D6">
        <w:rPr>
          <w:lang w:eastAsia="en-GB"/>
        </w:rPr>
        <w:t xml:space="preserve">Local Policing Appointments (LPAs) are only suitable for incidents which are not ongoing and assessed, following a thorough THRIVE assessment, that there is no investigative urgency or apparent risk of harm to the victim, family members, public or the </w:t>
      </w:r>
      <w:r w:rsidR="00C37BF4">
        <w:rPr>
          <w:lang w:eastAsia="en-GB"/>
        </w:rPr>
        <w:t>reported</w:t>
      </w:r>
      <w:r w:rsidRPr="005306D6">
        <w:rPr>
          <w:lang w:eastAsia="en-GB"/>
        </w:rPr>
        <w:t xml:space="preserve"> perpetrator. The victim's wishes should also be </w:t>
      </w:r>
      <w:r w:rsidR="005306D6" w:rsidRPr="005306D6">
        <w:rPr>
          <w:lang w:eastAsia="en-GB"/>
        </w:rPr>
        <w:t>considered</w:t>
      </w:r>
      <w:r w:rsidRPr="005306D6">
        <w:rPr>
          <w:lang w:eastAsia="en-GB"/>
        </w:rPr>
        <w:t xml:space="preserve"> however the safety and wellbeing of the </w:t>
      </w:r>
      <w:r w:rsidR="005306D6" w:rsidRPr="005306D6">
        <w:rPr>
          <w:lang w:eastAsia="en-GB"/>
        </w:rPr>
        <w:t>victim,</w:t>
      </w:r>
      <w:r w:rsidRPr="005306D6">
        <w:rPr>
          <w:lang w:eastAsia="en-GB"/>
        </w:rPr>
        <w:t xml:space="preserve"> and their family is the paramount consideration.</w:t>
      </w:r>
    </w:p>
    <w:p w14:paraId="4C76C0F6" w14:textId="77777777" w:rsidR="00DF07AC" w:rsidRPr="005306D6" w:rsidRDefault="00DF07AC" w:rsidP="00EB6DA7">
      <w:pPr>
        <w:rPr>
          <w:lang w:eastAsia="en-GB"/>
        </w:rPr>
      </w:pPr>
    </w:p>
    <w:p w14:paraId="08F32E00" w14:textId="77777777" w:rsidR="00090B6A" w:rsidRPr="005306D6" w:rsidRDefault="009E697C" w:rsidP="005306D6">
      <w:pPr>
        <w:pStyle w:val="Heading2"/>
        <w:numPr>
          <w:ilvl w:val="0"/>
          <w:numId w:val="7"/>
        </w:numPr>
        <w:jc w:val="both"/>
        <w:rPr>
          <w:rFonts w:eastAsia="Times New Roman" w:cs="Arial"/>
          <w:color w:val="0070C0"/>
          <w:szCs w:val="24"/>
          <w:lang w:eastAsia="en-GB"/>
        </w:rPr>
      </w:pPr>
      <w:r w:rsidRPr="005306D6">
        <w:rPr>
          <w:rFonts w:eastAsia="Times New Roman" w:cs="Arial"/>
          <w:szCs w:val="24"/>
          <w:lang w:eastAsia="en-GB"/>
        </w:rPr>
        <w:t xml:space="preserve">What were the police officer’s response times for each domestic violence incident/report/call? </w:t>
      </w:r>
    </w:p>
    <w:p w14:paraId="74387A55" w14:textId="77777777" w:rsidR="00090B6A" w:rsidRPr="005306D6" w:rsidRDefault="00090B6A" w:rsidP="005306D6">
      <w:pPr>
        <w:jc w:val="both"/>
      </w:pPr>
      <w:r w:rsidRPr="005306D6">
        <w:t>Unfortunately, I estimate that it would cost well in excess of the current FOI cost threshold of £600 to process your request.  I am therefore refusing to provide the information sought in terms of section 12(1) of the Act - Excessive Cost of Compliance.</w:t>
      </w:r>
    </w:p>
    <w:p w14:paraId="35BA01E5" w14:textId="2BF7F195" w:rsidR="00090B6A" w:rsidRPr="005306D6" w:rsidRDefault="00090B6A" w:rsidP="005306D6">
      <w:pPr>
        <w:jc w:val="both"/>
      </w:pPr>
      <w:r w:rsidRPr="005306D6">
        <w:t>By way of explanation, we cannot search incident</w:t>
      </w:r>
      <w:r w:rsidR="00457B95" w:rsidRPr="005306D6">
        <w:t xml:space="preserve"> </w:t>
      </w:r>
      <w:r w:rsidRPr="005306D6">
        <w:t xml:space="preserve">/ crime systems </w:t>
      </w:r>
      <w:r w:rsidR="009D266F" w:rsidRPr="005306D6">
        <w:t>to establish a</w:t>
      </w:r>
      <w:r w:rsidR="00BF38A0" w:rsidRPr="005306D6">
        <w:t>n accurate</w:t>
      </w:r>
      <w:r w:rsidR="009D266F" w:rsidRPr="005306D6">
        <w:t xml:space="preserve"> response time</w:t>
      </w:r>
      <w:r w:rsidR="00BF38A0" w:rsidRPr="005306D6">
        <w:t xml:space="preserve"> for those incidents that</w:t>
      </w:r>
      <w:r w:rsidR="009D266F" w:rsidRPr="005306D6">
        <w:t xml:space="preserve"> officers</w:t>
      </w:r>
      <w:r w:rsidRPr="005306D6">
        <w:t xml:space="preserve"> attend in the course of their enquiries. </w:t>
      </w:r>
    </w:p>
    <w:p w14:paraId="3BE78123" w14:textId="7F8D5A23" w:rsidR="00090B6A" w:rsidRPr="005306D6" w:rsidRDefault="00090B6A" w:rsidP="005306D6">
      <w:pPr>
        <w:jc w:val="both"/>
      </w:pPr>
      <w:r w:rsidRPr="005306D6">
        <w:t>In order to extract the data you require a manual search of all</w:t>
      </w:r>
      <w:r w:rsidR="00457B95" w:rsidRPr="005306D6">
        <w:t xml:space="preserve"> domestic abuse</w:t>
      </w:r>
      <w:r w:rsidRPr="005306D6">
        <w:t xml:space="preserve"> </w:t>
      </w:r>
      <w:r w:rsidR="00457B95" w:rsidRPr="005306D6">
        <w:t>incidents</w:t>
      </w:r>
      <w:r w:rsidRPr="005306D6">
        <w:t xml:space="preserve"> would have to be carried out to determine</w:t>
      </w:r>
      <w:r w:rsidR="00223967" w:rsidRPr="005306D6">
        <w:t xml:space="preserve"> any timestamps recorded</w:t>
      </w:r>
      <w:r w:rsidRPr="005306D6">
        <w:t>. This is an exercise that would far exceed the cost threshold of the Act.</w:t>
      </w:r>
    </w:p>
    <w:p w14:paraId="1CCC3ECD" w14:textId="77777777" w:rsidR="00606FB9" w:rsidRPr="005306D6" w:rsidRDefault="00606FB9" w:rsidP="005306D6">
      <w:pPr>
        <w:spacing w:before="0" w:after="0" w:line="240" w:lineRule="auto"/>
        <w:jc w:val="both"/>
        <w:textAlignment w:val="baseline"/>
        <w:rPr>
          <w:rFonts w:eastAsia="Times New Roman"/>
          <w:b/>
          <w:bCs/>
          <w:color w:val="0070C0"/>
          <w:lang w:eastAsia="en-GB"/>
        </w:rPr>
      </w:pPr>
    </w:p>
    <w:p w14:paraId="7672933A" w14:textId="77777777" w:rsidR="00606FB9" w:rsidRPr="005306D6" w:rsidRDefault="009E697C" w:rsidP="005306D6">
      <w:pPr>
        <w:numPr>
          <w:ilvl w:val="0"/>
          <w:numId w:val="7"/>
        </w:numPr>
        <w:spacing w:before="0" w:after="0" w:line="240" w:lineRule="auto"/>
        <w:jc w:val="both"/>
        <w:textAlignment w:val="baseline"/>
        <w:rPr>
          <w:rFonts w:eastAsia="Times New Roman"/>
          <w:b/>
          <w:bCs/>
          <w:color w:val="0070C0"/>
          <w:lang w:eastAsia="en-GB"/>
        </w:rPr>
      </w:pPr>
      <w:r w:rsidRPr="005306D6">
        <w:rPr>
          <w:rFonts w:eastAsia="Times New Roman"/>
          <w:b/>
          <w:bCs/>
          <w:lang w:eastAsia="en-GB"/>
        </w:rPr>
        <w:t>How many of these cases resulted in a prosecution?</w:t>
      </w:r>
      <w:r w:rsidRPr="005306D6">
        <w:rPr>
          <w:rFonts w:eastAsia="Times New Roman"/>
          <w:b/>
          <w:bCs/>
          <w:color w:val="0070C0"/>
          <w:lang w:eastAsia="en-GB"/>
        </w:rPr>
        <w:t xml:space="preserve">  </w:t>
      </w:r>
    </w:p>
    <w:p w14:paraId="6C36F88F" w14:textId="77777777" w:rsidR="00606FB9" w:rsidRPr="005306D6" w:rsidRDefault="00606FB9" w:rsidP="005306D6">
      <w:pPr>
        <w:spacing w:before="0" w:after="0" w:line="240" w:lineRule="auto"/>
        <w:ind w:left="360"/>
        <w:jc w:val="both"/>
        <w:textAlignment w:val="baseline"/>
        <w:rPr>
          <w:rFonts w:eastAsia="Times New Roman"/>
          <w:color w:val="0070C0"/>
          <w:lang w:eastAsia="en-GB"/>
        </w:rPr>
      </w:pPr>
    </w:p>
    <w:p w14:paraId="5EC1D8B5" w14:textId="77777777" w:rsidR="00246F20" w:rsidRPr="005306D6" w:rsidRDefault="00246F20" w:rsidP="005306D6">
      <w:pPr>
        <w:jc w:val="both"/>
      </w:pPr>
      <w:r w:rsidRPr="005306D6">
        <w:rPr>
          <w:bCs/>
          <w:color w:val="000000"/>
        </w:rPr>
        <w:t xml:space="preserve">Police Scotland does not hold </w:t>
      </w:r>
      <w:r w:rsidRPr="005306D6">
        <w:rPr>
          <w:bCs/>
        </w:rPr>
        <w:t>prosecution information</w:t>
      </w:r>
      <w:r w:rsidRPr="005306D6">
        <w:rPr>
          <w:bCs/>
          <w:color w:val="000000"/>
        </w:rPr>
        <w:t xml:space="preserve">. </w:t>
      </w:r>
      <w:r w:rsidRPr="005306D6">
        <w:t>As such, in terms of Section 17 of the Freedom of Information (Scotland) Act 2002, this represents a notice that the information you seek is not held by Police Scotland.</w:t>
      </w:r>
    </w:p>
    <w:p w14:paraId="4DA3812D" w14:textId="77777777" w:rsidR="00246F20" w:rsidRPr="005306D6" w:rsidRDefault="00246F20" w:rsidP="005306D6">
      <w:pPr>
        <w:jc w:val="both"/>
        <w:rPr>
          <w:color w:val="0000FF"/>
          <w:u w:val="single"/>
        </w:rPr>
      </w:pPr>
      <w:r w:rsidRPr="005306D6">
        <w:rPr>
          <w:bCs/>
          <w:color w:val="000000"/>
        </w:rPr>
        <w:t xml:space="preserve">You may wish to contact the Crown Office and Procurator Fiscals Service (COPFS) which holds conviction information for Scotland. A request can be submitted to COPFS via email using the following address </w:t>
      </w:r>
      <w:hyperlink r:id="rId15" w:history="1">
        <w:r w:rsidRPr="005306D6">
          <w:rPr>
            <w:rStyle w:val="Hyperlink"/>
          </w:rPr>
          <w:t>foi@copfs.gsi.gov.uk</w:t>
        </w:r>
      </w:hyperlink>
      <w:r w:rsidRPr="005306D6">
        <w:rPr>
          <w:rStyle w:val="Hyperlink"/>
        </w:rPr>
        <w:t>.</w:t>
      </w:r>
    </w:p>
    <w:p w14:paraId="243B19BF" w14:textId="77777777" w:rsidR="00606FB9" w:rsidRPr="005306D6" w:rsidRDefault="00606FB9" w:rsidP="005306D6">
      <w:pPr>
        <w:spacing w:before="0" w:after="0" w:line="240" w:lineRule="auto"/>
        <w:jc w:val="both"/>
        <w:textAlignment w:val="baseline"/>
        <w:rPr>
          <w:rFonts w:eastAsia="Times New Roman"/>
          <w:color w:val="0070C0"/>
          <w:lang w:eastAsia="en-GB"/>
        </w:rPr>
      </w:pPr>
    </w:p>
    <w:p w14:paraId="03C292A4" w14:textId="77777777" w:rsidR="00606FB9" w:rsidRPr="005306D6" w:rsidRDefault="009E697C" w:rsidP="005306D6">
      <w:pPr>
        <w:numPr>
          <w:ilvl w:val="0"/>
          <w:numId w:val="7"/>
        </w:numPr>
        <w:spacing w:before="0" w:after="0" w:line="240" w:lineRule="auto"/>
        <w:jc w:val="both"/>
        <w:textAlignment w:val="baseline"/>
        <w:rPr>
          <w:rFonts w:eastAsia="Times New Roman"/>
          <w:b/>
          <w:bCs/>
          <w:color w:val="0070C0"/>
          <w:lang w:eastAsia="en-GB"/>
        </w:rPr>
      </w:pPr>
      <w:r w:rsidRPr="005306D6">
        <w:rPr>
          <w:rFonts w:eastAsia="Times New Roman"/>
          <w:b/>
          <w:bCs/>
          <w:lang w:eastAsia="en-GB"/>
        </w:rPr>
        <w:t>Of the reported domestic abuse cases, how many were given a domestic violence protection order?  </w:t>
      </w:r>
    </w:p>
    <w:p w14:paraId="05A16F8F" w14:textId="77777777" w:rsidR="00606FB9" w:rsidRPr="005306D6" w:rsidRDefault="00606FB9" w:rsidP="005306D6">
      <w:pPr>
        <w:spacing w:before="0" w:after="0" w:line="240" w:lineRule="auto"/>
        <w:ind w:left="360"/>
        <w:jc w:val="both"/>
        <w:textAlignment w:val="baseline"/>
        <w:rPr>
          <w:rFonts w:eastAsia="Times New Roman"/>
          <w:color w:val="0070C0"/>
          <w:lang w:eastAsia="en-GB"/>
        </w:rPr>
      </w:pPr>
    </w:p>
    <w:p w14:paraId="36EDD09D" w14:textId="77777777" w:rsidR="00D22CF9" w:rsidRPr="005306D6" w:rsidRDefault="00E24151" w:rsidP="005306D6">
      <w:pPr>
        <w:jc w:val="both"/>
      </w:pPr>
      <w:r w:rsidRPr="005306D6">
        <w:t>Domestic Violence Protection Orders (DVPOs) were rolled out across all 43 police forces in England and Wales from 8 March 2014</w:t>
      </w:r>
      <w:r w:rsidR="00D22CF9" w:rsidRPr="005306D6">
        <w:t xml:space="preserve"> but are not in effect in Scotland. </w:t>
      </w:r>
    </w:p>
    <w:p w14:paraId="724955E9" w14:textId="2719DBF7" w:rsidR="003B5AA3" w:rsidRPr="005306D6" w:rsidRDefault="00D22CF9" w:rsidP="005306D6">
      <w:pPr>
        <w:jc w:val="both"/>
      </w:pPr>
      <w:r w:rsidRPr="005306D6">
        <w:t>In terms of Section 17 of the Act, this letter represents a formal notice that information is not held.</w:t>
      </w:r>
    </w:p>
    <w:p w14:paraId="0D228D43" w14:textId="77777777" w:rsidR="000632A2" w:rsidRPr="005306D6" w:rsidRDefault="000632A2" w:rsidP="005306D6">
      <w:pPr>
        <w:jc w:val="both"/>
      </w:pPr>
    </w:p>
    <w:p w14:paraId="0191E97C" w14:textId="77777777" w:rsidR="00496A08" w:rsidRPr="005306D6" w:rsidRDefault="00496A08" w:rsidP="005306D6">
      <w:pPr>
        <w:jc w:val="both"/>
      </w:pPr>
      <w:r w:rsidRPr="005306D6">
        <w:t>If you require any further assistance please contact us quoting the reference above.</w:t>
      </w:r>
    </w:p>
    <w:p w14:paraId="55B6D89E" w14:textId="77777777" w:rsidR="00496A08" w:rsidRPr="005306D6" w:rsidRDefault="00496A08" w:rsidP="005306D6">
      <w:pPr>
        <w:jc w:val="both"/>
      </w:pPr>
      <w:r w:rsidRPr="005306D6">
        <w:t xml:space="preserve">You can request a review of this response within the next 40 working days by </w:t>
      </w:r>
      <w:hyperlink r:id="rId16" w:history="1">
        <w:r w:rsidRPr="005306D6">
          <w:rPr>
            <w:rStyle w:val="Hyperlink"/>
          </w:rPr>
          <w:t>email</w:t>
        </w:r>
      </w:hyperlink>
      <w:r w:rsidRPr="005306D6">
        <w:t xml:space="preserve"> or by letter (Information Management - FOI, Police Scotland, Clyde Gateway, 2 French Street, Dalmarnock, G40 4EH).  Requests must include the reason for your dissatisfaction.</w:t>
      </w:r>
    </w:p>
    <w:p w14:paraId="62A1036F" w14:textId="77777777" w:rsidR="00496A08" w:rsidRPr="005306D6" w:rsidRDefault="00496A08" w:rsidP="005306D6">
      <w:pPr>
        <w:jc w:val="both"/>
      </w:pPr>
      <w:r w:rsidRPr="005306D6">
        <w:t xml:space="preserve">If you remain dissatisfied following our review response, you can appeal to the Office of the Scottish Information Commissioner (OSIC) within 6 months - </w:t>
      </w:r>
      <w:hyperlink r:id="rId17" w:history="1">
        <w:r w:rsidRPr="005306D6">
          <w:rPr>
            <w:rStyle w:val="Hyperlink"/>
          </w:rPr>
          <w:t>online</w:t>
        </w:r>
      </w:hyperlink>
      <w:r w:rsidRPr="005306D6">
        <w:t xml:space="preserve">, by </w:t>
      </w:r>
      <w:hyperlink r:id="rId18" w:history="1">
        <w:r w:rsidRPr="005306D6">
          <w:rPr>
            <w:rStyle w:val="Hyperlink"/>
          </w:rPr>
          <w:t>email</w:t>
        </w:r>
      </w:hyperlink>
      <w:r w:rsidRPr="005306D6">
        <w:t xml:space="preserve"> or by letter (OSIC, Kinburn Castle, Doubledykes Road, St Andrews, KY16 9DS).</w:t>
      </w:r>
    </w:p>
    <w:p w14:paraId="560D9D0E" w14:textId="77777777" w:rsidR="00B461B2" w:rsidRPr="005306D6" w:rsidRDefault="00496A08" w:rsidP="005306D6">
      <w:pPr>
        <w:jc w:val="both"/>
      </w:pPr>
      <w:r w:rsidRPr="005306D6">
        <w:t>Following an OSIC appeal, you can appeal to the Court of Session on a point of law only.</w:t>
      </w:r>
      <w:r w:rsidR="00D47E36" w:rsidRPr="005306D6">
        <w:t xml:space="preserve"> </w:t>
      </w:r>
    </w:p>
    <w:p w14:paraId="634EF2DB" w14:textId="77777777" w:rsidR="00B11A55" w:rsidRPr="005306D6" w:rsidRDefault="00B11A55" w:rsidP="005306D6">
      <w:pPr>
        <w:jc w:val="both"/>
      </w:pPr>
      <w:r w:rsidRPr="005306D6">
        <w:t xml:space="preserve">This response will be added to our </w:t>
      </w:r>
      <w:hyperlink r:id="rId19" w:history="1">
        <w:r w:rsidRPr="005306D6">
          <w:rPr>
            <w:rStyle w:val="Hyperlink"/>
          </w:rPr>
          <w:t>Disclosure Log</w:t>
        </w:r>
      </w:hyperlink>
      <w:r w:rsidRPr="005306D6">
        <w:t xml:space="preserve"> in seven days' time.</w:t>
      </w:r>
    </w:p>
    <w:p w14:paraId="66C7B46A" w14:textId="77777777" w:rsidR="007F490F" w:rsidRPr="005306D6" w:rsidRDefault="007F490F" w:rsidP="005306D6">
      <w:pPr>
        <w:jc w:val="both"/>
      </w:pPr>
      <w:r w:rsidRPr="005306D6">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6CF08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B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0E119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B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FDCEE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B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1D47B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BA6">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30A31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B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202098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BA6">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CDA"/>
    <w:multiLevelType w:val="hybridMultilevel"/>
    <w:tmpl w:val="C200F8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B2525A"/>
    <w:multiLevelType w:val="hybridMultilevel"/>
    <w:tmpl w:val="1368C9AE"/>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95474"/>
    <w:multiLevelType w:val="multilevel"/>
    <w:tmpl w:val="234EC2E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4035AD7"/>
    <w:multiLevelType w:val="hybridMultilevel"/>
    <w:tmpl w:val="59FA3DB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F10E17"/>
    <w:multiLevelType w:val="hybridMultilevel"/>
    <w:tmpl w:val="2784674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50E71"/>
    <w:multiLevelType w:val="hybridMultilevel"/>
    <w:tmpl w:val="9102A056"/>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F2C03"/>
    <w:multiLevelType w:val="multilevel"/>
    <w:tmpl w:val="74E60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2539EE"/>
    <w:multiLevelType w:val="hybridMultilevel"/>
    <w:tmpl w:val="2784674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0AF59A2"/>
    <w:multiLevelType w:val="hybridMultilevel"/>
    <w:tmpl w:val="CA0011A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F01E5"/>
    <w:multiLevelType w:val="hybridMultilevel"/>
    <w:tmpl w:val="35F0C21E"/>
    <w:lvl w:ilvl="0" w:tplc="1398332A">
      <w:start w:val="1"/>
      <w:numFmt w:val="lowerLetter"/>
      <w:lvlText w:val="%1)"/>
      <w:lvlJc w:val="left"/>
      <w:pPr>
        <w:ind w:left="360" w:hanging="360"/>
      </w:pPr>
      <w:rPr>
        <w:rFonts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8ED66DC"/>
    <w:multiLevelType w:val="hybridMultilevel"/>
    <w:tmpl w:val="A066DB04"/>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C10580C"/>
    <w:multiLevelType w:val="multilevel"/>
    <w:tmpl w:val="234EC2E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5"/>
  </w:num>
  <w:num w:numId="2" w16cid:durableId="1115833030">
    <w:abstractNumId w:val="7"/>
  </w:num>
  <w:num w:numId="3" w16cid:durableId="1175532872">
    <w:abstractNumId w:val="1"/>
  </w:num>
  <w:num w:numId="4" w16cid:durableId="286279427">
    <w:abstractNumId w:val="11"/>
  </w:num>
  <w:num w:numId="5" w16cid:durableId="1878201142">
    <w:abstractNumId w:val="5"/>
  </w:num>
  <w:num w:numId="6" w16cid:durableId="4313205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599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6649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308925">
    <w:abstractNumId w:val="0"/>
  </w:num>
  <w:num w:numId="10" w16cid:durableId="1119492995">
    <w:abstractNumId w:val="4"/>
  </w:num>
  <w:num w:numId="11" w16cid:durableId="666442154">
    <w:abstractNumId w:val="3"/>
  </w:num>
  <w:num w:numId="12" w16cid:durableId="454060205">
    <w:abstractNumId w:val="2"/>
  </w:num>
  <w:num w:numId="13" w16cid:durableId="717440875">
    <w:abstractNumId w:val="6"/>
  </w:num>
  <w:num w:numId="14" w16cid:durableId="1118909101">
    <w:abstractNumId w:val="12"/>
  </w:num>
  <w:num w:numId="15" w16cid:durableId="465050488">
    <w:abstractNumId w:val="10"/>
  </w:num>
  <w:num w:numId="16" w16cid:durableId="939071998">
    <w:abstractNumId w:val="14"/>
  </w:num>
  <w:num w:numId="17" w16cid:durableId="1485388580">
    <w:abstractNumId w:val="13"/>
  </w:num>
  <w:num w:numId="18" w16cid:durableId="1776166325">
    <w:abstractNumId w:val="8"/>
  </w:num>
  <w:num w:numId="19" w16cid:durableId="1101876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6E5"/>
    <w:rsid w:val="000632A2"/>
    <w:rsid w:val="00087BA6"/>
    <w:rsid w:val="00090B6A"/>
    <w:rsid w:val="00090F3B"/>
    <w:rsid w:val="000C1499"/>
    <w:rsid w:val="000E6526"/>
    <w:rsid w:val="00122A42"/>
    <w:rsid w:val="00141533"/>
    <w:rsid w:val="00143792"/>
    <w:rsid w:val="00167528"/>
    <w:rsid w:val="00195CC4"/>
    <w:rsid w:val="001C5094"/>
    <w:rsid w:val="00201EA3"/>
    <w:rsid w:val="00204BBE"/>
    <w:rsid w:val="00222494"/>
    <w:rsid w:val="00223364"/>
    <w:rsid w:val="00223967"/>
    <w:rsid w:val="00246F20"/>
    <w:rsid w:val="00253DF6"/>
    <w:rsid w:val="00255F1E"/>
    <w:rsid w:val="00285081"/>
    <w:rsid w:val="002C1F1E"/>
    <w:rsid w:val="002E31A0"/>
    <w:rsid w:val="00304764"/>
    <w:rsid w:val="00336D26"/>
    <w:rsid w:val="0035078F"/>
    <w:rsid w:val="00354652"/>
    <w:rsid w:val="0036127E"/>
    <w:rsid w:val="0036503B"/>
    <w:rsid w:val="003B5AA3"/>
    <w:rsid w:val="003D5169"/>
    <w:rsid w:val="003D6D03"/>
    <w:rsid w:val="003E12CA"/>
    <w:rsid w:val="004010DC"/>
    <w:rsid w:val="0040137A"/>
    <w:rsid w:val="00404DC9"/>
    <w:rsid w:val="004341F0"/>
    <w:rsid w:val="0043796F"/>
    <w:rsid w:val="00456324"/>
    <w:rsid w:val="00457B95"/>
    <w:rsid w:val="00475460"/>
    <w:rsid w:val="00490317"/>
    <w:rsid w:val="00491644"/>
    <w:rsid w:val="004961A9"/>
    <w:rsid w:val="00496A08"/>
    <w:rsid w:val="004D2BEA"/>
    <w:rsid w:val="004E1605"/>
    <w:rsid w:val="004F0C48"/>
    <w:rsid w:val="004F4E24"/>
    <w:rsid w:val="004F653C"/>
    <w:rsid w:val="00523420"/>
    <w:rsid w:val="00524696"/>
    <w:rsid w:val="005306D6"/>
    <w:rsid w:val="00540A52"/>
    <w:rsid w:val="00557306"/>
    <w:rsid w:val="00580FE9"/>
    <w:rsid w:val="005816D1"/>
    <w:rsid w:val="005A698F"/>
    <w:rsid w:val="005C0D87"/>
    <w:rsid w:val="005E6A4B"/>
    <w:rsid w:val="00606FB9"/>
    <w:rsid w:val="00637263"/>
    <w:rsid w:val="00663826"/>
    <w:rsid w:val="0067622C"/>
    <w:rsid w:val="006807FE"/>
    <w:rsid w:val="006D2E7F"/>
    <w:rsid w:val="006E5663"/>
    <w:rsid w:val="00705EB9"/>
    <w:rsid w:val="00706E8D"/>
    <w:rsid w:val="00747352"/>
    <w:rsid w:val="00750D83"/>
    <w:rsid w:val="00787C02"/>
    <w:rsid w:val="00793DD5"/>
    <w:rsid w:val="007C03BC"/>
    <w:rsid w:val="007D21C9"/>
    <w:rsid w:val="007D55F6"/>
    <w:rsid w:val="007F490F"/>
    <w:rsid w:val="007F759B"/>
    <w:rsid w:val="008109AD"/>
    <w:rsid w:val="008424FC"/>
    <w:rsid w:val="0086779C"/>
    <w:rsid w:val="00874BFD"/>
    <w:rsid w:val="008964EF"/>
    <w:rsid w:val="008D1000"/>
    <w:rsid w:val="008D179A"/>
    <w:rsid w:val="009363C7"/>
    <w:rsid w:val="009426B6"/>
    <w:rsid w:val="00946A79"/>
    <w:rsid w:val="0096318D"/>
    <w:rsid w:val="009631A4"/>
    <w:rsid w:val="00977296"/>
    <w:rsid w:val="009901CA"/>
    <w:rsid w:val="009D266F"/>
    <w:rsid w:val="009E697C"/>
    <w:rsid w:val="00A11B53"/>
    <w:rsid w:val="00A15357"/>
    <w:rsid w:val="00A16F2E"/>
    <w:rsid w:val="00A25E93"/>
    <w:rsid w:val="00A320FF"/>
    <w:rsid w:val="00A60D97"/>
    <w:rsid w:val="00A67530"/>
    <w:rsid w:val="00A705F3"/>
    <w:rsid w:val="00A70AC0"/>
    <w:rsid w:val="00A92320"/>
    <w:rsid w:val="00AA1F72"/>
    <w:rsid w:val="00AA5768"/>
    <w:rsid w:val="00AC443C"/>
    <w:rsid w:val="00B11A55"/>
    <w:rsid w:val="00B17211"/>
    <w:rsid w:val="00B239DF"/>
    <w:rsid w:val="00B26EEF"/>
    <w:rsid w:val="00B461B2"/>
    <w:rsid w:val="00B62EE0"/>
    <w:rsid w:val="00B71B3C"/>
    <w:rsid w:val="00B834DC"/>
    <w:rsid w:val="00BA2F48"/>
    <w:rsid w:val="00BC389E"/>
    <w:rsid w:val="00BD1CC7"/>
    <w:rsid w:val="00BE60AF"/>
    <w:rsid w:val="00BF38A0"/>
    <w:rsid w:val="00BF6B81"/>
    <w:rsid w:val="00C077A8"/>
    <w:rsid w:val="00C13D42"/>
    <w:rsid w:val="00C2565B"/>
    <w:rsid w:val="00C37BF4"/>
    <w:rsid w:val="00C56BF3"/>
    <w:rsid w:val="00C606A2"/>
    <w:rsid w:val="00C63872"/>
    <w:rsid w:val="00C76724"/>
    <w:rsid w:val="00C84948"/>
    <w:rsid w:val="00CE4D77"/>
    <w:rsid w:val="00CE6134"/>
    <w:rsid w:val="00CF1111"/>
    <w:rsid w:val="00D05706"/>
    <w:rsid w:val="00D14F1A"/>
    <w:rsid w:val="00D15491"/>
    <w:rsid w:val="00D1599B"/>
    <w:rsid w:val="00D2226F"/>
    <w:rsid w:val="00D22CF9"/>
    <w:rsid w:val="00D27DC5"/>
    <w:rsid w:val="00D47E36"/>
    <w:rsid w:val="00D8248E"/>
    <w:rsid w:val="00D84E5E"/>
    <w:rsid w:val="00DA19D7"/>
    <w:rsid w:val="00DA4284"/>
    <w:rsid w:val="00DB141B"/>
    <w:rsid w:val="00DF07AC"/>
    <w:rsid w:val="00DF1BEB"/>
    <w:rsid w:val="00E07EEE"/>
    <w:rsid w:val="00E24151"/>
    <w:rsid w:val="00E35661"/>
    <w:rsid w:val="00E428CE"/>
    <w:rsid w:val="00E448C2"/>
    <w:rsid w:val="00E55D79"/>
    <w:rsid w:val="00EB6DA7"/>
    <w:rsid w:val="00EF099F"/>
    <w:rsid w:val="00EF4761"/>
    <w:rsid w:val="00F218BA"/>
    <w:rsid w:val="00F27FCB"/>
    <w:rsid w:val="00F36768"/>
    <w:rsid w:val="00F55591"/>
    <w:rsid w:val="00F6764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rsid w:val="00F218BA"/>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uiPriority w:val="1"/>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customStyle="1" w:styleId="Heading3Char">
    <w:name w:val="Heading 3 Char"/>
    <w:basedOn w:val="DefaultParagraphFont"/>
    <w:link w:val="Heading3"/>
    <w:uiPriority w:val="9"/>
    <w:semiHidden/>
    <w:rsid w:val="00F218BA"/>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DF0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3127">
      <w:bodyDiv w:val="1"/>
      <w:marLeft w:val="0"/>
      <w:marRight w:val="0"/>
      <w:marTop w:val="0"/>
      <w:marBottom w:val="0"/>
      <w:divBdr>
        <w:top w:val="none" w:sz="0" w:space="0" w:color="auto"/>
        <w:left w:val="none" w:sz="0" w:space="0" w:color="auto"/>
        <w:bottom w:val="none" w:sz="0" w:space="0" w:color="auto"/>
        <w:right w:val="none" w:sz="0" w:space="0" w:color="auto"/>
      </w:divBdr>
    </w:div>
    <w:div w:id="189997559">
      <w:bodyDiv w:val="1"/>
      <w:marLeft w:val="0"/>
      <w:marRight w:val="0"/>
      <w:marTop w:val="0"/>
      <w:marBottom w:val="0"/>
      <w:divBdr>
        <w:top w:val="none" w:sz="0" w:space="0" w:color="auto"/>
        <w:left w:val="none" w:sz="0" w:space="0" w:color="auto"/>
        <w:bottom w:val="none" w:sz="0" w:space="0" w:color="auto"/>
        <w:right w:val="none" w:sz="0" w:space="0" w:color="auto"/>
      </w:divBdr>
    </w:div>
    <w:div w:id="26542972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289673671">
      <w:bodyDiv w:val="1"/>
      <w:marLeft w:val="0"/>
      <w:marRight w:val="0"/>
      <w:marTop w:val="0"/>
      <w:marBottom w:val="0"/>
      <w:divBdr>
        <w:top w:val="none" w:sz="0" w:space="0" w:color="auto"/>
        <w:left w:val="none" w:sz="0" w:space="0" w:color="auto"/>
        <w:bottom w:val="none" w:sz="0" w:space="0" w:color="auto"/>
        <w:right w:val="none" w:sz="0" w:space="0" w:color="auto"/>
      </w:divBdr>
    </w:div>
    <w:div w:id="372310905">
      <w:bodyDiv w:val="1"/>
      <w:marLeft w:val="0"/>
      <w:marRight w:val="0"/>
      <w:marTop w:val="0"/>
      <w:marBottom w:val="0"/>
      <w:divBdr>
        <w:top w:val="none" w:sz="0" w:space="0" w:color="auto"/>
        <w:left w:val="none" w:sz="0" w:space="0" w:color="auto"/>
        <w:bottom w:val="none" w:sz="0" w:space="0" w:color="auto"/>
        <w:right w:val="none" w:sz="0" w:space="0" w:color="auto"/>
      </w:divBdr>
    </w:div>
    <w:div w:id="37704790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5043816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703402459">
      <w:bodyDiv w:val="1"/>
      <w:marLeft w:val="0"/>
      <w:marRight w:val="0"/>
      <w:marTop w:val="0"/>
      <w:marBottom w:val="0"/>
      <w:divBdr>
        <w:top w:val="none" w:sz="0" w:space="0" w:color="auto"/>
        <w:left w:val="none" w:sz="0" w:space="0" w:color="auto"/>
        <w:bottom w:val="none" w:sz="0" w:space="0" w:color="auto"/>
        <w:right w:val="none" w:sz="0" w:space="0" w:color="auto"/>
      </w:divBdr>
    </w:div>
    <w:div w:id="802624447">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67584499">
      <w:bodyDiv w:val="1"/>
      <w:marLeft w:val="0"/>
      <w:marRight w:val="0"/>
      <w:marTop w:val="0"/>
      <w:marBottom w:val="0"/>
      <w:divBdr>
        <w:top w:val="none" w:sz="0" w:space="0" w:color="auto"/>
        <w:left w:val="none" w:sz="0" w:space="0" w:color="auto"/>
        <w:bottom w:val="none" w:sz="0" w:space="0" w:color="auto"/>
        <w:right w:val="none" w:sz="0" w:space="0" w:color="auto"/>
      </w:divBdr>
    </w:div>
    <w:div w:id="976449479">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14027552">
      <w:bodyDiv w:val="1"/>
      <w:marLeft w:val="0"/>
      <w:marRight w:val="0"/>
      <w:marTop w:val="0"/>
      <w:marBottom w:val="0"/>
      <w:divBdr>
        <w:top w:val="none" w:sz="0" w:space="0" w:color="auto"/>
        <w:left w:val="none" w:sz="0" w:space="0" w:color="auto"/>
        <w:bottom w:val="none" w:sz="0" w:space="0" w:color="auto"/>
        <w:right w:val="none" w:sz="0" w:space="0" w:color="auto"/>
      </w:divBdr>
    </w:div>
    <w:div w:id="1522545961">
      <w:bodyDiv w:val="1"/>
      <w:marLeft w:val="0"/>
      <w:marRight w:val="0"/>
      <w:marTop w:val="0"/>
      <w:marBottom w:val="0"/>
      <w:divBdr>
        <w:top w:val="none" w:sz="0" w:space="0" w:color="auto"/>
        <w:left w:val="none" w:sz="0" w:space="0" w:color="auto"/>
        <w:bottom w:val="none" w:sz="0" w:space="0" w:color="auto"/>
        <w:right w:val="none" w:sz="0" w:space="0" w:color="auto"/>
      </w:divBdr>
      <w:divsChild>
        <w:div w:id="925193076">
          <w:marLeft w:val="0"/>
          <w:marRight w:val="0"/>
          <w:marTop w:val="0"/>
          <w:marBottom w:val="0"/>
          <w:divBdr>
            <w:top w:val="none" w:sz="0" w:space="0" w:color="auto"/>
            <w:left w:val="none" w:sz="0" w:space="0" w:color="auto"/>
            <w:bottom w:val="none" w:sz="0" w:space="0" w:color="auto"/>
            <w:right w:val="none" w:sz="0" w:space="0" w:color="auto"/>
          </w:divBdr>
        </w:div>
        <w:div w:id="859976767">
          <w:marLeft w:val="0"/>
          <w:marRight w:val="0"/>
          <w:marTop w:val="0"/>
          <w:marBottom w:val="0"/>
          <w:divBdr>
            <w:top w:val="none" w:sz="0" w:space="0" w:color="auto"/>
            <w:left w:val="none" w:sz="0" w:space="0" w:color="auto"/>
            <w:bottom w:val="none" w:sz="0" w:space="0" w:color="auto"/>
            <w:right w:val="none" w:sz="0" w:space="0" w:color="auto"/>
          </w:divBdr>
        </w:div>
        <w:div w:id="1713536488">
          <w:marLeft w:val="0"/>
          <w:marRight w:val="0"/>
          <w:marTop w:val="0"/>
          <w:marBottom w:val="0"/>
          <w:divBdr>
            <w:top w:val="none" w:sz="0" w:space="0" w:color="auto"/>
            <w:left w:val="none" w:sz="0" w:space="0" w:color="auto"/>
            <w:bottom w:val="none" w:sz="0" w:space="0" w:color="auto"/>
            <w:right w:val="none" w:sz="0" w:space="0" w:color="auto"/>
          </w:divBdr>
        </w:div>
        <w:div w:id="1383366508">
          <w:marLeft w:val="0"/>
          <w:marRight w:val="0"/>
          <w:marTop w:val="0"/>
          <w:marBottom w:val="0"/>
          <w:divBdr>
            <w:top w:val="none" w:sz="0" w:space="0" w:color="auto"/>
            <w:left w:val="none" w:sz="0" w:space="0" w:color="auto"/>
            <w:bottom w:val="none" w:sz="0" w:space="0" w:color="auto"/>
            <w:right w:val="none" w:sz="0" w:space="0" w:color="auto"/>
          </w:divBdr>
        </w:div>
        <w:div w:id="267853622">
          <w:marLeft w:val="0"/>
          <w:marRight w:val="0"/>
          <w:marTop w:val="0"/>
          <w:marBottom w:val="0"/>
          <w:divBdr>
            <w:top w:val="none" w:sz="0" w:space="0" w:color="auto"/>
            <w:left w:val="none" w:sz="0" w:space="0" w:color="auto"/>
            <w:bottom w:val="none" w:sz="0" w:space="0" w:color="auto"/>
            <w:right w:val="none" w:sz="0" w:space="0" w:color="auto"/>
          </w:divBdr>
        </w:div>
        <w:div w:id="1490056657">
          <w:marLeft w:val="0"/>
          <w:marRight w:val="0"/>
          <w:marTop w:val="0"/>
          <w:marBottom w:val="0"/>
          <w:divBdr>
            <w:top w:val="none" w:sz="0" w:space="0" w:color="auto"/>
            <w:left w:val="none" w:sz="0" w:space="0" w:color="auto"/>
            <w:bottom w:val="none" w:sz="0" w:space="0" w:color="auto"/>
            <w:right w:val="none" w:sz="0" w:space="0" w:color="auto"/>
          </w:divBdr>
        </w:div>
        <w:div w:id="1961917097">
          <w:marLeft w:val="0"/>
          <w:marRight w:val="0"/>
          <w:marTop w:val="0"/>
          <w:marBottom w:val="0"/>
          <w:divBdr>
            <w:top w:val="none" w:sz="0" w:space="0" w:color="auto"/>
            <w:left w:val="none" w:sz="0" w:space="0" w:color="auto"/>
            <w:bottom w:val="none" w:sz="0" w:space="0" w:color="auto"/>
            <w:right w:val="none" w:sz="0" w:space="0" w:color="auto"/>
          </w:divBdr>
        </w:div>
      </w:divsChild>
    </w:div>
    <w:div w:id="1595741408">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18117611">
      <w:bodyDiv w:val="1"/>
      <w:marLeft w:val="0"/>
      <w:marRight w:val="0"/>
      <w:marTop w:val="0"/>
      <w:marBottom w:val="0"/>
      <w:divBdr>
        <w:top w:val="none" w:sz="0" w:space="0" w:color="auto"/>
        <w:left w:val="none" w:sz="0" w:space="0" w:color="auto"/>
        <w:bottom w:val="none" w:sz="0" w:space="0" w:color="auto"/>
        <w:right w:val="none" w:sz="0" w:space="0" w:color="auto"/>
      </w:divBdr>
    </w:div>
    <w:div w:id="2075086594">
      <w:bodyDiv w:val="1"/>
      <w:marLeft w:val="0"/>
      <w:marRight w:val="0"/>
      <w:marTop w:val="0"/>
      <w:marBottom w:val="0"/>
      <w:divBdr>
        <w:top w:val="none" w:sz="0" w:space="0" w:color="auto"/>
        <w:left w:val="none" w:sz="0" w:space="0" w:color="auto"/>
        <w:bottom w:val="none" w:sz="0" w:space="0" w:color="auto"/>
        <w:right w:val="none" w:sz="0" w:space="0" w:color="auto"/>
      </w:divBdr>
    </w:div>
    <w:div w:id="21154677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mzlwhwj/joint-protocol-between-police-scotland-and-copfs-in-partnership-challenging-domestic-abuse.pdf?view=Standard" TargetMode="External"/><Relationship Id="rId13" Type="http://schemas.openxmlformats.org/officeDocument/2006/relationships/hyperlink" Target="https://www.gov.scot/publications/domestic-abuse-statistics-recorded-police-scotland-2019-20/" TargetMode="External"/><Relationship Id="rId18" Type="http://schemas.openxmlformats.org/officeDocument/2006/relationships/hyperlink" Target="mailto:enquiries@itspublicknowledge.inf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gov.scot/publications/domestic-abuse-recorded-police-scotland-2020-21/" TargetMode="External"/><Relationship Id="rId17" Type="http://schemas.openxmlformats.org/officeDocument/2006/relationships/hyperlink" Target="http://www.itspublicknowledge.info/Appea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foi@scotland.police.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domestic-abuse-recorded-police-scotland-2021-22/"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foi@copfs.gsi.gov.uk" TargetMode="External"/><Relationship Id="rId23" Type="http://schemas.openxmlformats.org/officeDocument/2006/relationships/footer" Target="footer2.xml"/><Relationship Id="rId10" Type="http://schemas.openxmlformats.org/officeDocument/2006/relationships/hyperlink" Target="https://www.gov.scot/publications/domestic-abuse-statistics-recorded-police-scotland-2022-23/" TargetMode="External"/><Relationship Id="rId19" Type="http://schemas.openxmlformats.org/officeDocument/2006/relationships/hyperlink" Target="http://www.scotland.police.uk/access-to-information/freedom-of-information/disclosure-log" TargetMode="External"/><Relationship Id="rId4" Type="http://schemas.openxmlformats.org/officeDocument/2006/relationships/webSettings" Target="webSettings.xml"/><Relationship Id="rId9" Type="http://schemas.openxmlformats.org/officeDocument/2006/relationships/hyperlink" Target="https://www.copfs.gov.uk/" TargetMode="External"/><Relationship Id="rId14" Type="http://schemas.openxmlformats.org/officeDocument/2006/relationships/hyperlink" Target="https://www.gov.scot/publications/domestic-abuse-scotland-2018-2019-statistics/pages/1/"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2007</Words>
  <Characters>11440</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2024-06-04T16:02:00Z</cp:lastPrinted>
  <dcterms:created xsi:type="dcterms:W3CDTF">2024-06-03T14:33:00Z</dcterms:created>
  <dcterms:modified xsi:type="dcterms:W3CDTF">2024-06-04T16:03:00Z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