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FCE873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E2BC9">
              <w:t>1279</w:t>
            </w:r>
          </w:p>
          <w:p w14:paraId="34BDABA6" w14:textId="6A81270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2A19">
              <w:t>1</w:t>
            </w:r>
            <w:r w:rsidR="00412C8F">
              <w:t>3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0162BBB6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</w:t>
      </w:r>
      <w:r w:rsidR="00FA63B6" w:rsidRPr="00793DD5">
        <w:t>.</w:t>
      </w:r>
      <w:r w:rsidR="00FA63B6">
        <w:t xml:space="preserve"> </w:t>
      </w:r>
      <w:r w:rsidR="005C2A19">
        <w:t>Please accept my apologies for the delay in responding.</w:t>
      </w:r>
    </w:p>
    <w:p w14:paraId="2BB501AD" w14:textId="4BF0056D" w:rsidR="00EE2BC9" w:rsidRDefault="00852CDA" w:rsidP="00852CDA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1- </w:t>
      </w:r>
      <w:r w:rsidR="00EE2BC9">
        <w:rPr>
          <w:rFonts w:eastAsia="Times New Roman"/>
        </w:rPr>
        <w:t>All information held regarding Michael Matheson MSP investigation for potential breach of parliamentary rules.</w:t>
      </w:r>
    </w:p>
    <w:p w14:paraId="33276C4A" w14:textId="77777777" w:rsidR="00852CDA" w:rsidRDefault="00852CDA" w:rsidP="00852CDA">
      <w:pPr>
        <w:rPr>
          <w:rFonts w:eastAsiaTheme="minorEastAsia"/>
          <w:b/>
          <w:bCs/>
          <w:noProof/>
          <w:color w:val="000000"/>
          <w:lang w:eastAsia="en-GB"/>
        </w:rPr>
      </w:pPr>
      <w:bookmarkStart w:id="0" w:name="_MailAutoSig"/>
      <w:r>
        <w:rPr>
          <w:rFonts w:eastAsiaTheme="minorEastAsia"/>
          <w:noProof/>
          <w:lang w:eastAsia="en-GB"/>
        </w:rPr>
        <w:t xml:space="preserve">I can advise that Police Scotland does not hold the above requested information. </w:t>
      </w:r>
    </w:p>
    <w:p w14:paraId="553F5403" w14:textId="77777777" w:rsidR="00852CDA" w:rsidRDefault="00852CDA" w:rsidP="00852CDA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In terms of Section 17 of the Act, this letter represents a formal notice that information is not held.</w:t>
      </w:r>
    </w:p>
    <w:bookmarkEnd w:id="0"/>
    <w:p w14:paraId="483E7E31" w14:textId="77777777" w:rsidR="00852CDA" w:rsidRPr="00223E16" w:rsidRDefault="00852CDA" w:rsidP="00852CDA">
      <w:pPr>
        <w:rPr>
          <w:rFonts w:eastAsia="Times New Roman"/>
          <w:noProof/>
        </w:rPr>
      </w:pPr>
      <w:r>
        <w:rPr>
          <w:rFonts w:eastAsia="Times New Roman"/>
          <w:noProof/>
        </w:rPr>
        <w:t>By way of explanation, Police Scotland do not hold any recorded information that meets the terms of your information request.</w:t>
      </w:r>
    </w:p>
    <w:p w14:paraId="5A0E06D7" w14:textId="77777777" w:rsidR="00EE2BC9" w:rsidRDefault="00EE2BC9" w:rsidP="00EE2BC9">
      <w:pPr>
        <w:pStyle w:val="Heading2"/>
        <w:rPr>
          <w:rFonts w:eastAsia="Times New Roman"/>
        </w:rPr>
      </w:pPr>
      <w:r>
        <w:rPr>
          <w:rFonts w:eastAsia="Times New Roman"/>
        </w:rPr>
        <w:t>2- all information held regarding ongoing policing costs for both Celtic Football Club + Rangers Football Club (Home games)</w:t>
      </w:r>
    </w:p>
    <w:p w14:paraId="1FFD827B" w14:textId="1BE8D826" w:rsidR="005C2A19" w:rsidRDefault="005C2A19" w:rsidP="005C2A19">
      <w:r>
        <w:t xml:space="preserve">I have provided below the total amount billed to each football club, from 2023 until </w:t>
      </w:r>
      <w:r w:rsidR="00FC7A99">
        <w:t xml:space="preserve">6 </w:t>
      </w:r>
      <w:r>
        <w:t>June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C2A19" w14:paraId="1FF62B8A" w14:textId="77777777" w:rsidTr="005C2A19">
        <w:tc>
          <w:tcPr>
            <w:tcW w:w="2407" w:type="dxa"/>
          </w:tcPr>
          <w:p w14:paraId="7C98C8DE" w14:textId="77777777" w:rsidR="005C2A19" w:rsidRDefault="005C2A19" w:rsidP="005C2A19"/>
        </w:tc>
        <w:tc>
          <w:tcPr>
            <w:tcW w:w="2407" w:type="dxa"/>
          </w:tcPr>
          <w:p w14:paraId="0C5EEE0E" w14:textId="0F5F8833" w:rsidR="005C2A19" w:rsidRDefault="005C2A19" w:rsidP="00FC7A99">
            <w:pPr>
              <w:pStyle w:val="Heading2"/>
            </w:pPr>
            <w:r>
              <w:t>2023</w:t>
            </w:r>
          </w:p>
        </w:tc>
        <w:tc>
          <w:tcPr>
            <w:tcW w:w="2407" w:type="dxa"/>
          </w:tcPr>
          <w:p w14:paraId="30DF4DCD" w14:textId="5B159BEF" w:rsidR="005C2A19" w:rsidRDefault="005C2A19" w:rsidP="00FC7A99">
            <w:pPr>
              <w:pStyle w:val="Heading2"/>
            </w:pPr>
            <w:r>
              <w:t>2024</w:t>
            </w:r>
          </w:p>
        </w:tc>
        <w:tc>
          <w:tcPr>
            <w:tcW w:w="2407" w:type="dxa"/>
          </w:tcPr>
          <w:p w14:paraId="01B88C97" w14:textId="3525CFE2" w:rsidR="005C2A19" w:rsidRDefault="005C2A19" w:rsidP="00FC7A99">
            <w:pPr>
              <w:pStyle w:val="Heading2"/>
            </w:pPr>
            <w:r>
              <w:t>2025 (to 06/06/24)</w:t>
            </w:r>
          </w:p>
        </w:tc>
      </w:tr>
      <w:tr w:rsidR="005C2A19" w14:paraId="097E93F0" w14:textId="77777777" w:rsidTr="005C2A19">
        <w:tc>
          <w:tcPr>
            <w:tcW w:w="2407" w:type="dxa"/>
          </w:tcPr>
          <w:p w14:paraId="41F106D5" w14:textId="55F94718" w:rsidR="005C2A19" w:rsidRDefault="005C2A19" w:rsidP="00FC7A99">
            <w:pPr>
              <w:pStyle w:val="Heading2"/>
            </w:pPr>
            <w:r>
              <w:t>Celtic Plc</w:t>
            </w:r>
          </w:p>
        </w:tc>
        <w:tc>
          <w:tcPr>
            <w:tcW w:w="2407" w:type="dxa"/>
          </w:tcPr>
          <w:p w14:paraId="040E5871" w14:textId="77777777" w:rsidR="005C2A19" w:rsidRPr="005C2A19" w:rsidRDefault="005C2A19" w:rsidP="005C2A19">
            <w:r w:rsidRPr="005C2A19">
              <w:t>552,326.40</w:t>
            </w:r>
          </w:p>
          <w:p w14:paraId="5D7BFFB9" w14:textId="7FC0FA56" w:rsidR="005C2A19" w:rsidRPr="005C2A19" w:rsidRDefault="005C2A19" w:rsidP="005C2A19">
            <w:pPr>
              <w:rPr>
                <w:b/>
                <w:bCs/>
                <w:color w:val="000000"/>
              </w:rPr>
            </w:pPr>
          </w:p>
          <w:p w14:paraId="569FDE9D" w14:textId="77777777" w:rsidR="005C2A19" w:rsidRPr="005C2A19" w:rsidRDefault="005C2A19" w:rsidP="005C2A19"/>
        </w:tc>
        <w:tc>
          <w:tcPr>
            <w:tcW w:w="2407" w:type="dxa"/>
          </w:tcPr>
          <w:p w14:paraId="0470680E" w14:textId="77777777" w:rsidR="005C2A19" w:rsidRPr="005C2A19" w:rsidRDefault="005C2A19" w:rsidP="005C2A19">
            <w:r w:rsidRPr="005C2A19">
              <w:t>590,342.40</w:t>
            </w:r>
          </w:p>
          <w:p w14:paraId="4E2C0094" w14:textId="77777777" w:rsidR="005C2A19" w:rsidRPr="005C2A19" w:rsidRDefault="005C2A19" w:rsidP="005C2A19"/>
        </w:tc>
        <w:tc>
          <w:tcPr>
            <w:tcW w:w="2407" w:type="dxa"/>
          </w:tcPr>
          <w:p w14:paraId="76A41612" w14:textId="77777777" w:rsidR="005C2A19" w:rsidRPr="005C2A19" w:rsidRDefault="005C2A19" w:rsidP="005C2A19">
            <w:r w:rsidRPr="005C2A19">
              <w:t>64,288.80</w:t>
            </w:r>
          </w:p>
          <w:p w14:paraId="091F1BEA" w14:textId="77777777" w:rsidR="005C2A19" w:rsidRPr="005C2A19" w:rsidRDefault="005C2A19" w:rsidP="005C2A19"/>
        </w:tc>
      </w:tr>
      <w:tr w:rsidR="005C2A19" w14:paraId="48CE8118" w14:textId="77777777" w:rsidTr="005C2A19">
        <w:tc>
          <w:tcPr>
            <w:tcW w:w="2407" w:type="dxa"/>
          </w:tcPr>
          <w:p w14:paraId="4CF7F0DE" w14:textId="03E10D57" w:rsidR="005C2A19" w:rsidRDefault="005C2A19" w:rsidP="00FC7A99">
            <w:pPr>
              <w:pStyle w:val="Heading2"/>
            </w:pPr>
            <w:r>
              <w:t>The Rangers Football Club Limited</w:t>
            </w:r>
          </w:p>
        </w:tc>
        <w:tc>
          <w:tcPr>
            <w:tcW w:w="2407" w:type="dxa"/>
          </w:tcPr>
          <w:p w14:paraId="1BBF8643" w14:textId="77777777" w:rsidR="005C2A19" w:rsidRPr="005C2A19" w:rsidRDefault="005C2A19" w:rsidP="005C2A19">
            <w:r w:rsidRPr="005C2A19">
              <w:t>716,068.80</w:t>
            </w:r>
          </w:p>
          <w:p w14:paraId="5EE04A71" w14:textId="77777777" w:rsidR="005C2A19" w:rsidRPr="005C2A19" w:rsidRDefault="005C2A19" w:rsidP="005C2A19"/>
        </w:tc>
        <w:tc>
          <w:tcPr>
            <w:tcW w:w="2407" w:type="dxa"/>
          </w:tcPr>
          <w:p w14:paraId="393D3C65" w14:textId="77777777" w:rsidR="005C2A19" w:rsidRPr="005C2A19" w:rsidRDefault="005C2A19" w:rsidP="005C2A19">
            <w:r w:rsidRPr="005C2A19">
              <w:t>746,450.40</w:t>
            </w:r>
          </w:p>
          <w:p w14:paraId="5D94AA10" w14:textId="77777777" w:rsidR="005C2A19" w:rsidRPr="005C2A19" w:rsidRDefault="005C2A19" w:rsidP="005C2A19"/>
        </w:tc>
        <w:tc>
          <w:tcPr>
            <w:tcW w:w="2407" w:type="dxa"/>
          </w:tcPr>
          <w:p w14:paraId="712E8374" w14:textId="77777777" w:rsidR="005C2A19" w:rsidRPr="005C2A19" w:rsidRDefault="005C2A19" w:rsidP="005C2A19">
            <w:r w:rsidRPr="005C2A19">
              <w:t>42,912.00</w:t>
            </w:r>
          </w:p>
          <w:p w14:paraId="2B4D1FED" w14:textId="77777777" w:rsidR="005C2A19" w:rsidRPr="005C2A19" w:rsidRDefault="005C2A19" w:rsidP="005C2A19"/>
        </w:tc>
      </w:tr>
    </w:tbl>
    <w:p w14:paraId="2DF577BC" w14:textId="77777777" w:rsidR="005C2A19" w:rsidRPr="005C2A19" w:rsidRDefault="005C2A19" w:rsidP="005C2A19"/>
    <w:p w14:paraId="67293A66" w14:textId="77777777" w:rsidR="00EE2BC9" w:rsidRDefault="00EE2BC9" w:rsidP="00EE2BC9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3- How policing costs are calculated at Celtic Park/Ibrox</w:t>
      </w:r>
    </w:p>
    <w:p w14:paraId="06389A18" w14:textId="11EC0B6A" w:rsidR="00222F02" w:rsidRDefault="00222F02" w:rsidP="009D5561">
      <w:r>
        <w:t>I can advise that p</w:t>
      </w:r>
      <w:r w:rsidR="009D5561">
        <w:t>rior to each season, Police Scotland meet with all clubs and discuss resources required for each category of match. The</w:t>
      </w:r>
      <w:r>
        <w:t>s</w:t>
      </w:r>
      <w:r w:rsidR="009D5561">
        <w:t xml:space="preserve">e resources and </w:t>
      </w:r>
      <w:r>
        <w:t xml:space="preserve">the </w:t>
      </w:r>
      <w:r w:rsidR="009D5561">
        <w:t xml:space="preserve">cost are all agreed with each club prior to the season commencing. </w:t>
      </w:r>
    </w:p>
    <w:p w14:paraId="3C453D09" w14:textId="447C410B" w:rsidR="009D5561" w:rsidRPr="009D5561" w:rsidRDefault="009D5561" w:rsidP="009D5561">
      <w:r>
        <w:t xml:space="preserve">Throughout the season, Police Scotland carry out a risk assessment for each match, assessing the Threat/Risk/Harm to each fixture. </w:t>
      </w:r>
    </w:p>
    <w:p w14:paraId="33B24228" w14:textId="77777777" w:rsidR="00EE2BC9" w:rsidRDefault="00EE2BC9" w:rsidP="00EE2BC9">
      <w:pPr>
        <w:pStyle w:val="Heading2"/>
        <w:rPr>
          <w:rFonts w:eastAsia="Times New Roman"/>
        </w:rPr>
      </w:pPr>
      <w:r>
        <w:rPr>
          <w:rFonts w:eastAsia="Times New Roman"/>
        </w:rPr>
        <w:t>4- All information held pertaining to new agreement between both clubs for increased away allocation including new ingress/egress routes.</w:t>
      </w:r>
    </w:p>
    <w:p w14:paraId="591FEC92" w14:textId="77777777" w:rsidR="009D5561" w:rsidRDefault="009D5561" w:rsidP="009D5561">
      <w:pPr>
        <w:rPr>
          <w:rFonts w:eastAsiaTheme="minorEastAsia"/>
          <w:b/>
          <w:bCs/>
          <w:noProof/>
          <w:color w:val="000000"/>
          <w:lang w:eastAsia="en-GB"/>
        </w:rPr>
      </w:pPr>
      <w:r>
        <w:rPr>
          <w:rFonts w:eastAsiaTheme="minorEastAsia"/>
          <w:noProof/>
          <w:lang w:eastAsia="en-GB"/>
        </w:rPr>
        <w:t xml:space="preserve">I can advise that Police Scotland does not hold the above requested information. </w:t>
      </w:r>
    </w:p>
    <w:p w14:paraId="3ED6BA59" w14:textId="77777777" w:rsidR="009D5561" w:rsidRDefault="009D5561" w:rsidP="009D5561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In terms of Section 17 of the Act, this letter represents a formal notice that information is not held.</w:t>
      </w:r>
    </w:p>
    <w:p w14:paraId="6AC2A691" w14:textId="0830D960" w:rsidR="009D5561" w:rsidRPr="009D5561" w:rsidRDefault="009D5561" w:rsidP="009D5561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By way of explanation, </w:t>
      </w:r>
      <w:r>
        <w:t>Police Scotland were not included in any agreement between the clubs for the new away allocation.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B9ABA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C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E758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C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9D73C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C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CAFF9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C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4154F0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C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3F2AA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C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E3B43"/>
    <w:multiLevelType w:val="hybridMultilevel"/>
    <w:tmpl w:val="21CA9350"/>
    <w:lvl w:ilvl="0" w:tplc="C96E2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8668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22F02"/>
    <w:rsid w:val="00253DF6"/>
    <w:rsid w:val="00255F1E"/>
    <w:rsid w:val="0036503B"/>
    <w:rsid w:val="003D6D03"/>
    <w:rsid w:val="003E12CA"/>
    <w:rsid w:val="004010DC"/>
    <w:rsid w:val="00412C8F"/>
    <w:rsid w:val="004341F0"/>
    <w:rsid w:val="00456324"/>
    <w:rsid w:val="00475460"/>
    <w:rsid w:val="00481683"/>
    <w:rsid w:val="00490317"/>
    <w:rsid w:val="00491644"/>
    <w:rsid w:val="00496A08"/>
    <w:rsid w:val="004E1605"/>
    <w:rsid w:val="004F653C"/>
    <w:rsid w:val="00540A52"/>
    <w:rsid w:val="00557306"/>
    <w:rsid w:val="005C2A19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52CDA"/>
    <w:rsid w:val="0086779C"/>
    <w:rsid w:val="00874BFD"/>
    <w:rsid w:val="008964EF"/>
    <w:rsid w:val="00915E01"/>
    <w:rsid w:val="009631A4"/>
    <w:rsid w:val="00977296"/>
    <w:rsid w:val="009949F7"/>
    <w:rsid w:val="009D5561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57816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A2833"/>
    <w:rsid w:val="00E004C1"/>
    <w:rsid w:val="00E55D79"/>
    <w:rsid w:val="00E90585"/>
    <w:rsid w:val="00EE2373"/>
    <w:rsid w:val="00EE2BC9"/>
    <w:rsid w:val="00EF37F8"/>
    <w:rsid w:val="00EF4761"/>
    <w:rsid w:val="00EF5FFA"/>
    <w:rsid w:val="00F21D44"/>
    <w:rsid w:val="00FA63B6"/>
    <w:rsid w:val="00FC2DA7"/>
    <w:rsid w:val="00FC7A9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Grieve, Lorna</cp:lastModifiedBy>
  <cp:revision>25</cp:revision>
  <dcterms:created xsi:type="dcterms:W3CDTF">2023-12-08T11:52:00Z</dcterms:created>
  <dcterms:modified xsi:type="dcterms:W3CDTF">2024-06-13T10:07:00Z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