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4BEC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A7BD3">
              <w:t>2710</w:t>
            </w:r>
          </w:p>
          <w:p w14:paraId="34BDABA6" w14:textId="1D6E8E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111A">
              <w:t>20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F5E2EB" w14:textId="776F87D5" w:rsidR="002A7BD3" w:rsidRDefault="002A7BD3" w:rsidP="002A7BD3">
      <w:pPr>
        <w:pStyle w:val="Heading2"/>
      </w:pPr>
      <w:r w:rsidRPr="002A7BD3">
        <w:t>All information held by you in the last five years (i.e. since October 2019) concerning reports to you of vehicle accidents at Newhouse</w:t>
      </w:r>
      <w:r>
        <w:t xml:space="preserve"> </w:t>
      </w:r>
      <w:r w:rsidRPr="002A7BD3">
        <w:t>mill Bridge in East Kilbride in each of the last five years, i.e. to October 2024.</w:t>
      </w:r>
    </w:p>
    <w:p w14:paraId="48E6D328" w14:textId="24AA88E3" w:rsidR="002A7BD3" w:rsidRDefault="002A7BD3" w:rsidP="002A7BD3">
      <w:r>
        <w:t>For the number of road traffic collisions at Newhousemill Bridge for the past 5 calendar years broken down by collision severity, please see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56"/>
        <w:gridCol w:w="849"/>
        <w:gridCol w:w="850"/>
        <w:gridCol w:w="849"/>
        <w:gridCol w:w="850"/>
        <w:gridCol w:w="843"/>
      </w:tblGrid>
      <w:tr w:rsidR="002A7BD3" w14:paraId="707533F1" w14:textId="7FEB5DF0" w:rsidTr="002A7BD3">
        <w:tc>
          <w:tcPr>
            <w:tcW w:w="4531" w:type="dxa"/>
            <w:shd w:val="clear" w:color="auto" w:fill="BFBFBF" w:themeFill="background1" w:themeFillShade="BF"/>
          </w:tcPr>
          <w:p w14:paraId="565F0517" w14:textId="0B56874D" w:rsidR="002A7BD3" w:rsidRDefault="002A7BD3" w:rsidP="002A7BD3">
            <w:r>
              <w:t>Collision severity</w:t>
            </w:r>
          </w:p>
        </w:tc>
        <w:tc>
          <w:tcPr>
            <w:tcW w:w="856" w:type="dxa"/>
            <w:shd w:val="clear" w:color="auto" w:fill="BFBFBF" w:themeFill="background1" w:themeFillShade="BF"/>
          </w:tcPr>
          <w:p w14:paraId="16532717" w14:textId="01AC92D6" w:rsidR="002A7BD3" w:rsidRDefault="002A7BD3" w:rsidP="002A7BD3">
            <w:r>
              <w:t>2019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F0F47C5" w14:textId="0A62583C" w:rsidR="002A7BD3" w:rsidRDefault="002A7BD3" w:rsidP="002A7BD3">
            <w:r>
              <w:t>2020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840FCB3" w14:textId="1501AF2B" w:rsidR="002A7BD3" w:rsidRDefault="002A7BD3" w:rsidP="002A7BD3">
            <w:r>
              <w:t>2021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502B3857" w14:textId="09230FF7" w:rsidR="002A7BD3" w:rsidRDefault="002A7BD3" w:rsidP="002A7BD3">
            <w:r>
              <w:t>2022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51D4F3A" w14:textId="3D2C30EC" w:rsidR="002A7BD3" w:rsidRDefault="002A7BD3" w:rsidP="002A7BD3">
            <w:r>
              <w:t>2023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14:paraId="037FBEBF" w14:textId="131B1D91" w:rsidR="002A7BD3" w:rsidRDefault="002A7BD3" w:rsidP="002A7BD3">
            <w:r>
              <w:t>2024</w:t>
            </w:r>
          </w:p>
        </w:tc>
      </w:tr>
      <w:tr w:rsidR="002A7BD3" w14:paraId="506A94A7" w14:textId="56C550EB" w:rsidTr="002A7BD3">
        <w:tc>
          <w:tcPr>
            <w:tcW w:w="4531" w:type="dxa"/>
          </w:tcPr>
          <w:p w14:paraId="5B569684" w14:textId="30C00734" w:rsidR="002A7BD3" w:rsidRDefault="002A7BD3" w:rsidP="002A7BD3">
            <w:r>
              <w:t>Slight</w:t>
            </w:r>
          </w:p>
        </w:tc>
        <w:tc>
          <w:tcPr>
            <w:tcW w:w="856" w:type="dxa"/>
          </w:tcPr>
          <w:p w14:paraId="23D92A6F" w14:textId="24578482" w:rsidR="002A7BD3" w:rsidRDefault="002A7BD3" w:rsidP="002A7BD3">
            <w:r>
              <w:t>2</w:t>
            </w:r>
          </w:p>
        </w:tc>
        <w:tc>
          <w:tcPr>
            <w:tcW w:w="849" w:type="dxa"/>
          </w:tcPr>
          <w:p w14:paraId="5D3DAE0D" w14:textId="7C1D65B4" w:rsidR="002A7BD3" w:rsidRDefault="002A7BD3" w:rsidP="002A7BD3">
            <w:r>
              <w:t>0</w:t>
            </w:r>
          </w:p>
        </w:tc>
        <w:tc>
          <w:tcPr>
            <w:tcW w:w="850" w:type="dxa"/>
          </w:tcPr>
          <w:p w14:paraId="224B1EBD" w14:textId="4C8329E5" w:rsidR="002A7BD3" w:rsidRDefault="002A7BD3" w:rsidP="002A7BD3">
            <w:r>
              <w:t>1</w:t>
            </w:r>
          </w:p>
        </w:tc>
        <w:tc>
          <w:tcPr>
            <w:tcW w:w="849" w:type="dxa"/>
          </w:tcPr>
          <w:p w14:paraId="36E6EF5C" w14:textId="6C486ADD" w:rsidR="002A7BD3" w:rsidRDefault="002A7BD3" w:rsidP="002A7BD3">
            <w:r>
              <w:t>0</w:t>
            </w:r>
          </w:p>
        </w:tc>
        <w:tc>
          <w:tcPr>
            <w:tcW w:w="850" w:type="dxa"/>
          </w:tcPr>
          <w:p w14:paraId="547966D3" w14:textId="60303E18" w:rsidR="002A7BD3" w:rsidRDefault="002A7BD3" w:rsidP="002A7BD3">
            <w:r>
              <w:t>1</w:t>
            </w:r>
          </w:p>
        </w:tc>
        <w:tc>
          <w:tcPr>
            <w:tcW w:w="843" w:type="dxa"/>
          </w:tcPr>
          <w:p w14:paraId="6ABE35AA" w14:textId="35CB1375" w:rsidR="002A7BD3" w:rsidRDefault="002A7BD3" w:rsidP="002A7BD3">
            <w:r>
              <w:t>0</w:t>
            </w:r>
          </w:p>
        </w:tc>
      </w:tr>
      <w:tr w:rsidR="002A7BD3" w14:paraId="29C0C236" w14:textId="1E1DA2FC" w:rsidTr="002A7BD3">
        <w:tc>
          <w:tcPr>
            <w:tcW w:w="4531" w:type="dxa"/>
          </w:tcPr>
          <w:p w14:paraId="23D5A901" w14:textId="53BA8D20" w:rsidR="002A7BD3" w:rsidRDefault="002A7BD3" w:rsidP="002A7BD3">
            <w:r>
              <w:t>Serious</w:t>
            </w:r>
          </w:p>
        </w:tc>
        <w:tc>
          <w:tcPr>
            <w:tcW w:w="856" w:type="dxa"/>
          </w:tcPr>
          <w:p w14:paraId="56C15923" w14:textId="4AB64931" w:rsidR="002A7BD3" w:rsidRDefault="002A7BD3" w:rsidP="002A7BD3">
            <w:r>
              <w:t>0</w:t>
            </w:r>
          </w:p>
        </w:tc>
        <w:tc>
          <w:tcPr>
            <w:tcW w:w="849" w:type="dxa"/>
          </w:tcPr>
          <w:p w14:paraId="52858262" w14:textId="4E22C6E6" w:rsidR="002A7BD3" w:rsidRDefault="002A7BD3" w:rsidP="002A7BD3">
            <w:r>
              <w:t>0</w:t>
            </w:r>
          </w:p>
        </w:tc>
        <w:tc>
          <w:tcPr>
            <w:tcW w:w="850" w:type="dxa"/>
          </w:tcPr>
          <w:p w14:paraId="66E7CE4E" w14:textId="27354730" w:rsidR="002A7BD3" w:rsidRDefault="002A7BD3" w:rsidP="002A7BD3">
            <w:r>
              <w:t>0</w:t>
            </w:r>
          </w:p>
        </w:tc>
        <w:tc>
          <w:tcPr>
            <w:tcW w:w="849" w:type="dxa"/>
          </w:tcPr>
          <w:p w14:paraId="65E264F8" w14:textId="41F8C9EA" w:rsidR="002A7BD3" w:rsidRDefault="002A7BD3" w:rsidP="002A7BD3">
            <w:r>
              <w:t>0</w:t>
            </w:r>
          </w:p>
        </w:tc>
        <w:tc>
          <w:tcPr>
            <w:tcW w:w="850" w:type="dxa"/>
          </w:tcPr>
          <w:p w14:paraId="394867BE" w14:textId="69670E27" w:rsidR="002A7BD3" w:rsidRDefault="002A7BD3" w:rsidP="002A7BD3">
            <w:r>
              <w:t>0</w:t>
            </w:r>
          </w:p>
        </w:tc>
        <w:tc>
          <w:tcPr>
            <w:tcW w:w="843" w:type="dxa"/>
          </w:tcPr>
          <w:p w14:paraId="72026A6C" w14:textId="57C63188" w:rsidR="002A7BD3" w:rsidRDefault="002A7BD3" w:rsidP="002A7BD3">
            <w:r>
              <w:t>0</w:t>
            </w:r>
          </w:p>
        </w:tc>
      </w:tr>
      <w:tr w:rsidR="002A7BD3" w14:paraId="16642114" w14:textId="61B99902" w:rsidTr="002A7BD3">
        <w:tc>
          <w:tcPr>
            <w:tcW w:w="4531" w:type="dxa"/>
          </w:tcPr>
          <w:p w14:paraId="62E75174" w14:textId="7CA01521" w:rsidR="002A7BD3" w:rsidRDefault="002A7BD3" w:rsidP="002A7BD3">
            <w:r>
              <w:t>Fatal</w:t>
            </w:r>
          </w:p>
        </w:tc>
        <w:tc>
          <w:tcPr>
            <w:tcW w:w="856" w:type="dxa"/>
          </w:tcPr>
          <w:p w14:paraId="5F2CC60D" w14:textId="6AB52048" w:rsidR="002A7BD3" w:rsidRDefault="002A7BD3" w:rsidP="002A7BD3">
            <w:r>
              <w:t>0</w:t>
            </w:r>
          </w:p>
        </w:tc>
        <w:tc>
          <w:tcPr>
            <w:tcW w:w="849" w:type="dxa"/>
          </w:tcPr>
          <w:p w14:paraId="53B6C4AD" w14:textId="41A467D0" w:rsidR="002A7BD3" w:rsidRDefault="002A7BD3" w:rsidP="002A7BD3">
            <w:r>
              <w:t>0</w:t>
            </w:r>
          </w:p>
        </w:tc>
        <w:tc>
          <w:tcPr>
            <w:tcW w:w="850" w:type="dxa"/>
          </w:tcPr>
          <w:p w14:paraId="25A40687" w14:textId="5B2F617D" w:rsidR="002A7BD3" w:rsidRDefault="002A7BD3" w:rsidP="002A7BD3">
            <w:r>
              <w:t>0</w:t>
            </w:r>
          </w:p>
        </w:tc>
        <w:tc>
          <w:tcPr>
            <w:tcW w:w="849" w:type="dxa"/>
          </w:tcPr>
          <w:p w14:paraId="209B2F2E" w14:textId="43BBEAD3" w:rsidR="002A7BD3" w:rsidRDefault="002A7BD3" w:rsidP="002A7BD3">
            <w:r>
              <w:t>0</w:t>
            </w:r>
          </w:p>
        </w:tc>
        <w:tc>
          <w:tcPr>
            <w:tcW w:w="850" w:type="dxa"/>
          </w:tcPr>
          <w:p w14:paraId="7C6DABC8" w14:textId="1B2C8881" w:rsidR="002A7BD3" w:rsidRDefault="002A7BD3" w:rsidP="002A7BD3">
            <w:r>
              <w:t>0</w:t>
            </w:r>
          </w:p>
        </w:tc>
        <w:tc>
          <w:tcPr>
            <w:tcW w:w="843" w:type="dxa"/>
          </w:tcPr>
          <w:p w14:paraId="282FD199" w14:textId="2E576B1E" w:rsidR="002A7BD3" w:rsidRDefault="002A7BD3" w:rsidP="002A7BD3">
            <w:r>
              <w:t>0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2A7BD3" w:rsidRPr="002A7BD3" w14:paraId="736901C0" w14:textId="77777777" w:rsidTr="002A7BD3">
        <w:trPr>
          <w:trHeight w:val="7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FAE5" w14:textId="77777777" w:rsidR="002A7BD3" w:rsidRPr="002A7BD3" w:rsidRDefault="002A7BD3" w:rsidP="002A7BD3">
            <w:pPr>
              <w:rPr>
                <w:lang w:eastAsia="en-GB"/>
              </w:rPr>
            </w:pPr>
            <w:r w:rsidRPr="002A7BD3">
              <w:rPr>
                <w:lang w:eastAsia="en-GB"/>
              </w:rPr>
              <w:t>All statistics are provisional and should be treated as management information. All data have been extracted from Police Scotland internal systems and are correct as at 6th November 2024.</w:t>
            </w:r>
          </w:p>
        </w:tc>
      </w:tr>
      <w:tr w:rsidR="002A7BD3" w:rsidRPr="002A7BD3" w14:paraId="0A63EF16" w14:textId="77777777" w:rsidTr="002A7BD3">
        <w:trPr>
          <w:trHeight w:val="3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0595" w14:textId="77777777" w:rsidR="002A7BD3" w:rsidRPr="002A7BD3" w:rsidRDefault="002A7BD3" w:rsidP="002A7BD3">
            <w:pPr>
              <w:rPr>
                <w:lang w:eastAsia="en-GB"/>
              </w:rPr>
            </w:pPr>
            <w:r w:rsidRPr="002A7BD3">
              <w:rPr>
                <w:lang w:eastAsia="en-GB"/>
              </w:rPr>
              <w:t>1. Data excludes non-injury collisions as per standard operating procedure.</w:t>
            </w:r>
          </w:p>
        </w:tc>
      </w:tr>
      <w:tr w:rsidR="002A7BD3" w:rsidRPr="002A7BD3" w14:paraId="124D24C6" w14:textId="77777777" w:rsidTr="002A7BD3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DD2F" w14:textId="77777777" w:rsidR="002A7BD3" w:rsidRPr="002A7BD3" w:rsidRDefault="002A7BD3" w:rsidP="002A7BD3">
            <w:pPr>
              <w:rPr>
                <w:lang w:eastAsia="en-GB"/>
              </w:rPr>
            </w:pPr>
            <w:r w:rsidRPr="002A7BD3">
              <w:rPr>
                <w:lang w:eastAsia="en-GB"/>
              </w:rPr>
              <w:t>On the 12th June 2019, CRaSH was implemented within D Division. On the 3rd July 2019, CRaSH was implemented across the other Police Divisions within Police Scotland. CRaSH replaced the existing procedures for recording Road Traffic Collisions.</w:t>
            </w:r>
          </w:p>
        </w:tc>
      </w:tr>
      <w:tr w:rsidR="002A7BD3" w:rsidRPr="002A7BD3" w14:paraId="755AE4F0" w14:textId="77777777" w:rsidTr="002A7BD3">
        <w:trPr>
          <w:trHeight w:val="5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8B75" w14:textId="77777777" w:rsidR="002A7BD3" w:rsidRPr="002A7BD3" w:rsidRDefault="002A7BD3" w:rsidP="002A7BD3">
            <w:pPr>
              <w:rPr>
                <w:lang w:eastAsia="en-GB"/>
              </w:rPr>
            </w:pPr>
            <w:r w:rsidRPr="002A7BD3">
              <w:rPr>
                <w:lang w:eastAsia="en-GB"/>
              </w:rPr>
              <w:t>Note - the data is subject to change and will be updated on the next extract of data from CRaSH on 3rd December 2024.</w:t>
            </w:r>
          </w:p>
        </w:tc>
      </w:tr>
      <w:tr w:rsidR="002A7BD3" w:rsidRPr="002A7BD3" w14:paraId="18694DDF" w14:textId="77777777" w:rsidTr="002A7BD3">
        <w:trPr>
          <w:trHeight w:val="6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B86F" w14:textId="77777777" w:rsidR="002A7BD3" w:rsidRPr="002A7BD3" w:rsidRDefault="002A7BD3" w:rsidP="002A7BD3">
            <w:pPr>
              <w:rPr>
                <w:lang w:eastAsia="en-GB"/>
              </w:rPr>
            </w:pPr>
            <w:r w:rsidRPr="002A7BD3">
              <w:rPr>
                <w:lang w:eastAsia="en-GB"/>
              </w:rPr>
              <w:t>2. Specified areas have been selected using GIS Mapping, Newhousemill Bridge, East Kilbride, Lanarkshire Division has been selected.</w:t>
            </w:r>
          </w:p>
        </w:tc>
      </w:tr>
    </w:tbl>
    <w:p w14:paraId="34BDABBE" w14:textId="320EAA83" w:rsidR="00496A08" w:rsidRPr="00BF6B81" w:rsidRDefault="00496A08" w:rsidP="00793DD5">
      <w:r w:rsidRPr="002A7BD3">
        <w:rPr>
          <w:bCs/>
        </w:rPr>
        <w:lastRenderedPageBreak/>
        <w:t>If you require any</w:t>
      </w:r>
      <w:r>
        <w:t xml:space="preserve">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56601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0D4B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C4A97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BB7AB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CDABD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9FD5C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A7BD3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368F6"/>
    <w:rsid w:val="00540A52"/>
    <w:rsid w:val="00557306"/>
    <w:rsid w:val="005F4E08"/>
    <w:rsid w:val="00645CFA"/>
    <w:rsid w:val="00657A5E"/>
    <w:rsid w:val="006C7AC4"/>
    <w:rsid w:val="006D5799"/>
    <w:rsid w:val="00732589"/>
    <w:rsid w:val="00743BB0"/>
    <w:rsid w:val="00750D83"/>
    <w:rsid w:val="00752ED6"/>
    <w:rsid w:val="00785DBC"/>
    <w:rsid w:val="00793DD5"/>
    <w:rsid w:val="007A309F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27EAC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71DC2"/>
    <w:rsid w:val="00C84948"/>
    <w:rsid w:val="00CB3707"/>
    <w:rsid w:val="00CC705D"/>
    <w:rsid w:val="00CD0C53"/>
    <w:rsid w:val="00CF1111"/>
    <w:rsid w:val="00CF6F19"/>
    <w:rsid w:val="00D05706"/>
    <w:rsid w:val="00D27DC5"/>
    <w:rsid w:val="00D44B13"/>
    <w:rsid w:val="00D47E36"/>
    <w:rsid w:val="00D7784F"/>
    <w:rsid w:val="00DF2593"/>
    <w:rsid w:val="00E1111A"/>
    <w:rsid w:val="00E55D79"/>
    <w:rsid w:val="00EE2373"/>
    <w:rsid w:val="00EF4761"/>
    <w:rsid w:val="00EF6523"/>
    <w:rsid w:val="00F21D44"/>
    <w:rsid w:val="00FC2DA7"/>
    <w:rsid w:val="00FE44E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