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58CBBD32" w:rsidR="0011137F" w:rsidRDefault="00B17211" w:rsidP="0011137F">
            <w:r w:rsidRPr="007F490F">
              <w:rPr>
                <w:rStyle w:val="Heading2Char"/>
              </w:rPr>
              <w:t>Our reference:</w:t>
            </w:r>
            <w:r>
              <w:t xml:space="preserve">  FOI 2</w:t>
            </w:r>
            <w:r w:rsidR="00706E8D">
              <w:t>4</w:t>
            </w:r>
            <w:r w:rsidR="00184E84">
              <w:t>-</w:t>
            </w:r>
            <w:r w:rsidR="0034302B">
              <w:t>3198</w:t>
            </w:r>
          </w:p>
          <w:p w14:paraId="5BEC4C5F" w14:textId="73801BB4"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961F08">
              <w:t>January 25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E2F8035" w14:textId="619FFC86" w:rsidR="0034302B" w:rsidRPr="00E75BE2" w:rsidRDefault="00E75BE2" w:rsidP="00E75BE2">
      <w:pPr>
        <w:rPr>
          <w:b/>
          <w:bCs/>
          <w:lang w:eastAsia="en-GB"/>
        </w:rPr>
      </w:pPr>
      <w:r>
        <w:rPr>
          <w:b/>
          <w:bCs/>
          <w:lang w:eastAsia="en-GB"/>
        </w:rPr>
        <w:t xml:space="preserve">1.  </w:t>
      </w:r>
      <w:r w:rsidR="0034302B" w:rsidRPr="00E75BE2">
        <w:rPr>
          <w:b/>
          <w:bCs/>
          <w:lang w:eastAsia="en-GB"/>
        </w:rPr>
        <w:t>P</w:t>
      </w:r>
      <w:r w:rsidR="0034302B" w:rsidRPr="00E75BE2">
        <w:rPr>
          <w:b/>
          <w:bCs/>
          <w:lang w:eastAsia="en-GB"/>
        </w:rPr>
        <w:t>lease provide a list of all addresses in The Quadrant, Kirkwall, for which door-to-door questionnaires were filled in.</w:t>
      </w:r>
    </w:p>
    <w:p w14:paraId="26FB7E6B" w14:textId="77777777" w:rsidR="003210B9" w:rsidRDefault="003210B9" w:rsidP="003210B9">
      <w:pPr>
        <w:pStyle w:val="Default"/>
      </w:pPr>
      <w:r>
        <w:t xml:space="preserve">In terms of Section 16 of the Freedom of Information (Scotland) Act 2002 I am refusing to provide you with the information sought.  </w:t>
      </w:r>
    </w:p>
    <w:p w14:paraId="192D8499" w14:textId="77777777" w:rsidR="003210B9" w:rsidRDefault="003210B9" w:rsidP="003210B9">
      <w:pPr>
        <w:pStyle w:val="Default"/>
      </w:pPr>
      <w:r>
        <w:t xml:space="preserve">I can confirm that Police Scotland holds the information that you have requested. </w:t>
      </w:r>
    </w:p>
    <w:p w14:paraId="02449E21" w14:textId="77777777" w:rsidR="003210B9" w:rsidRDefault="003210B9" w:rsidP="003210B9">
      <w:pPr>
        <w:pStyle w:val="Default"/>
      </w:pPr>
      <w:r>
        <w:t xml:space="preserve">The exemptions that I consider to be applicable to the information requested by you are as follows: </w:t>
      </w:r>
    </w:p>
    <w:p w14:paraId="1D73027A" w14:textId="77777777" w:rsidR="003210B9" w:rsidRDefault="003210B9" w:rsidP="003210B9">
      <w:pPr>
        <w:rPr>
          <w:rFonts w:eastAsia="Times New Roman"/>
          <w:b/>
          <w:lang w:eastAsia="en-GB"/>
        </w:rPr>
      </w:pPr>
      <w:r>
        <w:rPr>
          <w:rFonts w:eastAsia="Times New Roman"/>
          <w:b/>
          <w:lang w:eastAsia="en-GB"/>
        </w:rPr>
        <w:t xml:space="preserve">Section 34(1) (a) (i) &amp; (b) – Investigations by a Scottish public authority </w:t>
      </w:r>
    </w:p>
    <w:p w14:paraId="6032B56C" w14:textId="77777777" w:rsidR="003210B9" w:rsidRDefault="003210B9" w:rsidP="003210B9">
      <w:r>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1466DC6F" w14:textId="77777777" w:rsidR="003210B9" w:rsidRDefault="003210B9" w:rsidP="003210B9">
      <w:r>
        <w:t>This is a non-absolute exemption and requires the application of the public interest test.</w:t>
      </w:r>
    </w:p>
    <w:p w14:paraId="44D22C40" w14:textId="111C893D" w:rsidR="003210B9" w:rsidRDefault="003210B9" w:rsidP="003210B9">
      <w:r>
        <w:t xml:space="preserve">We acknowledge that it </w:t>
      </w:r>
      <w:r>
        <w:t>is in the public interest that an understanding exists as to the processes involved in police investigations and in their relative success. This is particularly true in</w:t>
      </w:r>
      <w:r w:rsidR="00872B98">
        <w:t xml:space="preserve"> homicide</w:t>
      </w:r>
      <w:r>
        <w:t xml:space="preserve"> investigations, therefore, accountability and transparency relating to the actions of Police Scotland and its officers would favour disclosure of the information. </w:t>
      </w:r>
    </w:p>
    <w:p w14:paraId="4DF874E2" w14:textId="77777777" w:rsidR="003210B9" w:rsidRDefault="003210B9" w:rsidP="003210B9">
      <w:r>
        <w:t xml:space="preserve">That said, when the Freedom of Information Bill was considered by the Scottish Parliament, the then Lord Advocate stated that the exemptions detailed in section 34(1) were essential for an effective justice system.  </w:t>
      </w:r>
    </w:p>
    <w:p w14:paraId="4FA8CF94" w14:textId="77777777" w:rsidR="003210B9" w:rsidRDefault="003210B9" w:rsidP="003210B9">
      <w:r>
        <w:t xml:space="preserve">Section 34 of the Act has no harm test and information will be exempt from disclosure simply because it has, </w:t>
      </w:r>
      <w:r w:rsidRPr="00872B98">
        <w:t>at some point</w:t>
      </w:r>
      <w:r>
        <w:t>, been held by an authority for any of these purposes listed.</w:t>
      </w:r>
    </w:p>
    <w:p w14:paraId="5AC7BEC9" w14:textId="77777777" w:rsidR="004633AE" w:rsidRDefault="004633AE" w:rsidP="003210B9"/>
    <w:p w14:paraId="61DF0BBD" w14:textId="4934C782" w:rsidR="003210B9" w:rsidRDefault="006450FE" w:rsidP="003210B9">
      <w:r>
        <w:t>T</w:t>
      </w:r>
      <w:r w:rsidR="003210B9">
        <w:t>he following exemption</w:t>
      </w:r>
      <w:r w:rsidR="004633AE">
        <w:t xml:space="preserve"> will</w:t>
      </w:r>
      <w:r w:rsidR="003210B9">
        <w:t xml:space="preserve"> also appl</w:t>
      </w:r>
      <w:r w:rsidR="004633AE">
        <w:t>y</w:t>
      </w:r>
      <w:r w:rsidR="003210B9">
        <w:t xml:space="preserve">: </w:t>
      </w:r>
    </w:p>
    <w:p w14:paraId="49234CE4" w14:textId="77777777" w:rsidR="003210B9" w:rsidRDefault="003210B9" w:rsidP="003210B9">
      <w:pPr>
        <w:tabs>
          <w:tab w:val="left" w:pos="5400"/>
        </w:tabs>
        <w:rPr>
          <w:b/>
          <w:bCs/>
        </w:rPr>
      </w:pPr>
      <w:r>
        <w:rPr>
          <w:b/>
          <w:bCs/>
        </w:rPr>
        <w:t>Section 38(1) (b) - Personal Data</w:t>
      </w:r>
    </w:p>
    <w:p w14:paraId="6A499401" w14:textId="77777777" w:rsidR="003210B9" w:rsidRDefault="003210B9" w:rsidP="003210B9">
      <w:pPr>
        <w:tabs>
          <w:tab w:val="left" w:pos="5400"/>
        </w:tabs>
      </w:pPr>
      <w:r>
        <w:t>Personal data is defined in Article 4 of the General Data Protection Regulation (GDPR) as:</w:t>
      </w:r>
    </w:p>
    <w:p w14:paraId="23BFC7A7" w14:textId="77777777" w:rsidR="003210B9" w:rsidRDefault="003210B9" w:rsidP="003210B9">
      <w:pPr>
        <w:tabs>
          <w:tab w:val="left" w:pos="5400"/>
        </w:tabs>
      </w:pPr>
      <w:r>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F5B0A9E" w14:textId="77777777" w:rsidR="003210B9" w:rsidRDefault="003210B9" w:rsidP="003210B9">
      <w:pPr>
        <w:tabs>
          <w:tab w:val="left" w:pos="5400"/>
        </w:tabs>
      </w:pPr>
      <w:r>
        <w:t>Section 38(2A) of the Act provides that personal data is exempt from disclosure where disclosure would contravene any of the data protection principles set out at Article 5(1) of the GDPR which states that:</w:t>
      </w:r>
    </w:p>
    <w:p w14:paraId="32B304AC" w14:textId="77777777" w:rsidR="003210B9" w:rsidRDefault="003210B9" w:rsidP="003210B9">
      <w:pPr>
        <w:tabs>
          <w:tab w:val="left" w:pos="5400"/>
        </w:tabs>
      </w:pPr>
      <w:r>
        <w:rPr>
          <w:i/>
          <w:iCs/>
        </w:rPr>
        <w:t>‘Personal data shall be processed lawfully, fairly and in a transparent manner in relation to the data subject’</w:t>
      </w:r>
    </w:p>
    <w:p w14:paraId="18C719F2" w14:textId="77777777" w:rsidR="003210B9" w:rsidRDefault="003210B9" w:rsidP="003210B9">
      <w:pPr>
        <w:tabs>
          <w:tab w:val="left" w:pos="5400"/>
        </w:tabs>
      </w:pPr>
      <w:r>
        <w:t>Article 6 of the GDPR goes on to state that processing shall be lawful only if certain conditions are met.</w:t>
      </w:r>
    </w:p>
    <w:p w14:paraId="293B1C20" w14:textId="77777777" w:rsidR="003210B9" w:rsidRDefault="003210B9" w:rsidP="003210B9">
      <w:pPr>
        <w:tabs>
          <w:tab w:val="left" w:pos="5400"/>
        </w:tabs>
        <w:rPr>
          <w:i/>
          <w:iCs/>
        </w:rPr>
      </w:pPr>
      <w:r>
        <w:t xml:space="preserve">The only potentially applicable condition is set out at Article 6(1)(f) which states: </w:t>
      </w:r>
      <w:r>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3B8BFC14" w14:textId="77777777" w:rsidR="003210B9" w:rsidRDefault="003210B9" w:rsidP="003210B9">
      <w:pPr>
        <w:tabs>
          <w:tab w:val="left" w:pos="5400"/>
        </w:tabs>
      </w:pPr>
      <w:r>
        <w:t xml:space="preserve">Whilst I accept that you may have a legitimate interest with regards the disclosure, I am nonetheless of the view that those interests are overridden by the interests or fundamental rights and freedoms of the data subject(s). </w:t>
      </w:r>
    </w:p>
    <w:p w14:paraId="5F3B32AC" w14:textId="780BCAC4" w:rsidR="00545ADB" w:rsidRDefault="00545ADB" w:rsidP="004633AE">
      <w:r>
        <w:t>To explain, all Freedom of Information requests are published on our website and</w:t>
      </w:r>
      <w:r w:rsidR="006450FE">
        <w:t xml:space="preserve"> to</w:t>
      </w:r>
      <w:r>
        <w:t xml:space="preserve"> provid</w:t>
      </w:r>
      <w:r w:rsidR="006450FE">
        <w:t>e</w:t>
      </w:r>
      <w:r>
        <w:t xml:space="preserve"> such specific details (i.e. exact address of witness, coupled with year of enquiry) would therefore be a public disclosure</w:t>
      </w:r>
      <w:r w:rsidR="006450FE">
        <w:t xml:space="preserve"> of personal information.</w:t>
      </w:r>
      <w:r>
        <w:t xml:space="preserve"> </w:t>
      </w:r>
    </w:p>
    <w:p w14:paraId="02C50EB1" w14:textId="7E74BAAA" w:rsidR="004633AE" w:rsidRPr="00EF0EC9" w:rsidRDefault="004633AE" w:rsidP="004633AE">
      <w:r>
        <w:t>Quite rightly, all w</w:t>
      </w:r>
      <w:r w:rsidRPr="00EF0EC9">
        <w:t xml:space="preserve">itnesses </w:t>
      </w:r>
      <w:r>
        <w:t xml:space="preserve">who provide information or </w:t>
      </w:r>
      <w:r w:rsidRPr="00EF0EC9">
        <w:t xml:space="preserve">make statements </w:t>
      </w:r>
      <w:r>
        <w:t xml:space="preserve">to the police </w:t>
      </w:r>
      <w:r w:rsidR="00545ADB">
        <w:t xml:space="preserve">do so with </w:t>
      </w:r>
      <w:r w:rsidRPr="00EF0EC9">
        <w:t xml:space="preserve">the expectation </w:t>
      </w:r>
      <w:r w:rsidR="00545ADB">
        <w:t>that this will remain</w:t>
      </w:r>
      <w:r w:rsidRPr="00EF0EC9">
        <w:t xml:space="preserve"> confidential</w:t>
      </w:r>
      <w:r>
        <w:t xml:space="preserve">.  </w:t>
      </w:r>
      <w:r w:rsidR="00545ADB">
        <w:t xml:space="preserve">I would suggest this is particularly true </w:t>
      </w:r>
      <w:r>
        <w:t xml:space="preserve">where individuals and their wider families reside </w:t>
      </w:r>
      <w:r w:rsidR="00545ADB">
        <w:t>withi</w:t>
      </w:r>
      <w:r>
        <w:t xml:space="preserve">n a small community </w:t>
      </w:r>
      <w:r w:rsidR="00545ADB">
        <w:t xml:space="preserve">where they </w:t>
      </w:r>
      <w:r>
        <w:lastRenderedPageBreak/>
        <w:t xml:space="preserve">may be </w:t>
      </w:r>
      <w:r w:rsidR="00545ADB">
        <w:t xml:space="preserve">easily identified and subject to unwanted attention, </w:t>
      </w:r>
      <w:r w:rsidR="006450FE">
        <w:t>even accounting for the</w:t>
      </w:r>
      <w:r w:rsidR="00545ADB">
        <w:t xml:space="preserve"> passage of time</w:t>
      </w:r>
      <w:r w:rsidR="006450FE">
        <w:t xml:space="preserve"> in this case</w:t>
      </w:r>
      <w:r w:rsidR="00545ADB">
        <w:t xml:space="preserve">. </w:t>
      </w:r>
      <w:r w:rsidRPr="00EF0EC9">
        <w:t xml:space="preserve"> </w:t>
      </w:r>
    </w:p>
    <w:p w14:paraId="58330159" w14:textId="1FEDDF8E" w:rsidR="006450FE" w:rsidRDefault="004633AE" w:rsidP="003210B9">
      <w:pPr>
        <w:tabs>
          <w:tab w:val="left" w:pos="5400"/>
        </w:tabs>
      </w:pPr>
      <w:r>
        <w:t>Accordingly, i</w:t>
      </w:r>
      <w:r w:rsidR="003210B9">
        <w:t>t</w:t>
      </w:r>
      <w:r w:rsidR="003210B9">
        <w:t xml:space="preserve"> is my view that </w:t>
      </w:r>
      <w:r w:rsidR="003210B9">
        <w:t>publishing the identities of those</w:t>
      </w:r>
      <w:r>
        <w:t xml:space="preserve"> families </w:t>
      </w:r>
      <w:r w:rsidR="003210B9">
        <w:t>who did, or did not, provide information to the enquiry would</w:t>
      </w:r>
      <w:r w:rsidR="003210B9">
        <w:t xml:space="preserve"> be unlawful.</w:t>
      </w:r>
    </w:p>
    <w:p w14:paraId="13A00B83" w14:textId="77777777" w:rsidR="00E75BE2" w:rsidRDefault="00E75BE2" w:rsidP="003210B9">
      <w:pPr>
        <w:tabs>
          <w:tab w:val="left" w:pos="5400"/>
        </w:tabs>
      </w:pPr>
    </w:p>
    <w:p w14:paraId="0F563E5C" w14:textId="21B6A5F5" w:rsidR="0034302B" w:rsidRPr="00E75BE2" w:rsidRDefault="00E75BE2" w:rsidP="00E75BE2">
      <w:pPr>
        <w:rPr>
          <w:b/>
          <w:bCs/>
          <w:lang w:eastAsia="en-GB"/>
        </w:rPr>
      </w:pPr>
      <w:r>
        <w:rPr>
          <w:b/>
          <w:bCs/>
          <w:lang w:eastAsia="en-GB"/>
        </w:rPr>
        <w:t xml:space="preserve">2. </w:t>
      </w:r>
      <w:r w:rsidR="006450FE" w:rsidRPr="00E75BE2">
        <w:rPr>
          <w:b/>
          <w:bCs/>
          <w:lang w:eastAsia="en-GB"/>
        </w:rPr>
        <w:t>P</w:t>
      </w:r>
      <w:r w:rsidR="0034302B" w:rsidRPr="00E75BE2">
        <w:rPr>
          <w:b/>
          <w:bCs/>
          <w:lang w:eastAsia="en-GB"/>
        </w:rPr>
        <w:t>lease provide a list of all addresses in The Quadrant, Kirkwall, at which door-to-door enquiries were carried out.</w:t>
      </w:r>
    </w:p>
    <w:p w14:paraId="4F68C0D1" w14:textId="5FCE172B" w:rsidR="0034302B" w:rsidRPr="006450FE" w:rsidRDefault="006450FE" w:rsidP="0034302B">
      <w:r>
        <w:t>According to HOLMES research, all dwellinghouses, commercial premises, Hotels, Public Houses, etc. in the Kirkwall area were to form part of house to house enquiries.</w:t>
      </w:r>
    </w:p>
    <w:p w14:paraId="7DADAEF8" w14:textId="77777777" w:rsidR="006450FE" w:rsidRDefault="006450FE" w:rsidP="0034302B">
      <w:pPr>
        <w:rPr>
          <w:b/>
          <w:bCs/>
          <w:lang w:eastAsia="en-GB"/>
        </w:rPr>
      </w:pPr>
    </w:p>
    <w:p w14:paraId="00B9E7CC" w14:textId="2958D0DB" w:rsidR="0034302B" w:rsidRPr="006450FE" w:rsidRDefault="00E75BE2" w:rsidP="00E75BE2">
      <w:pPr>
        <w:pStyle w:val="Heading2"/>
        <w:rPr>
          <w:rFonts w:ascii="Calibri" w:hAnsi="Calibri"/>
          <w:lang w:eastAsia="en-GB"/>
        </w:rPr>
      </w:pPr>
      <w:r>
        <w:rPr>
          <w:lang w:eastAsia="en-GB"/>
        </w:rPr>
        <w:t xml:space="preserve">3. </w:t>
      </w:r>
      <w:r w:rsidR="006450FE">
        <w:rPr>
          <w:lang w:eastAsia="en-GB"/>
        </w:rPr>
        <w:t>P</w:t>
      </w:r>
      <w:r w:rsidR="0034302B" w:rsidRPr="006450FE">
        <w:rPr>
          <w:lang w:eastAsia="en-GB"/>
        </w:rPr>
        <w:t>lease provide the reference numbers for all door-to-door enquiry questionnaire forms taken from The Quadrant.</w:t>
      </w:r>
    </w:p>
    <w:p w14:paraId="7FE57DAD" w14:textId="2A4AA0FA" w:rsidR="00E75BE2" w:rsidRPr="00E75BE2" w:rsidRDefault="006450FE" w:rsidP="00E75BE2">
      <w:r w:rsidRPr="00E75BE2">
        <w:t xml:space="preserve">Owing to the naming convention with house to house enquiries, the reference numbers </w:t>
      </w:r>
      <w:r w:rsidR="00E75BE2" w:rsidRPr="00E75BE2">
        <w:t xml:space="preserve">in a particular street </w:t>
      </w:r>
      <w:r w:rsidRPr="00E75BE2">
        <w:t xml:space="preserve">could easily </w:t>
      </w:r>
      <w:r w:rsidRPr="00E75BE2">
        <w:t xml:space="preserve">be used to </w:t>
      </w:r>
      <w:r w:rsidRPr="00E75BE2">
        <w:t xml:space="preserve">deduce the </w:t>
      </w:r>
      <w:r w:rsidR="00E75BE2">
        <w:t xml:space="preserve">corresponding </w:t>
      </w:r>
      <w:r w:rsidRPr="00E75BE2">
        <w:t>address</w:t>
      </w:r>
      <w:r w:rsidR="00E75BE2" w:rsidRPr="00E75BE2">
        <w:t xml:space="preserve">es to which they refer. </w:t>
      </w:r>
      <w:r w:rsidRPr="00E75BE2">
        <w:t xml:space="preserve"> </w:t>
      </w:r>
      <w:r w:rsidR="00E75BE2">
        <w:t>On that basis, t</w:t>
      </w:r>
      <w:r w:rsidR="00E75BE2" w:rsidRPr="00E75BE2">
        <w:t xml:space="preserve">he </w:t>
      </w:r>
      <w:r w:rsidR="00E75BE2" w:rsidRPr="00E75BE2">
        <w:t>Section 38(1) (b) - Personal Data</w:t>
      </w:r>
      <w:r w:rsidR="00E75BE2" w:rsidRPr="00E75BE2">
        <w:t xml:space="preserve"> exemption articulated above also applies here.</w:t>
      </w:r>
    </w:p>
    <w:p w14:paraId="44596E82" w14:textId="742A4C3D" w:rsidR="00E75BE2" w:rsidRPr="00E75BE2" w:rsidRDefault="00E75BE2" w:rsidP="00E75BE2">
      <w:r w:rsidRPr="00E75BE2">
        <w:t xml:space="preserve">To be of some assistance I can confirm that a total of nine questionnaires were taken from </w:t>
      </w:r>
      <w:r w:rsidR="00195042">
        <w:t>T</w:t>
      </w:r>
      <w:r w:rsidRPr="00E75BE2">
        <w:t xml:space="preserve">he Quadrant </w:t>
      </w:r>
    </w:p>
    <w:p w14:paraId="76FE36BA" w14:textId="77777777" w:rsidR="0034302B" w:rsidRDefault="0034302B" w:rsidP="0034302B">
      <w:pPr>
        <w:rPr>
          <w:rFonts w:ascii="Aptos" w:hAnsi="Aptos"/>
          <w:b/>
          <w:bCs/>
          <w:lang w:eastAsia="en-GB"/>
        </w:rPr>
      </w:pPr>
    </w:p>
    <w:p w14:paraId="62E7BB3D" w14:textId="018B086B" w:rsidR="0034302B" w:rsidRPr="00195042" w:rsidRDefault="00195042" w:rsidP="00195042">
      <w:pPr>
        <w:rPr>
          <w:b/>
          <w:bCs/>
          <w:lang w:eastAsia="en-GB"/>
        </w:rPr>
      </w:pPr>
      <w:r>
        <w:rPr>
          <w:b/>
          <w:bCs/>
          <w:lang w:eastAsia="en-GB"/>
        </w:rPr>
        <w:t xml:space="preserve">4. </w:t>
      </w:r>
      <w:r w:rsidR="0034302B" w:rsidRPr="00195042">
        <w:rPr>
          <w:b/>
          <w:bCs/>
          <w:lang w:eastAsia="en-GB"/>
        </w:rPr>
        <w:t>Please also tell me how many door-to-door enquiry forms appear to be missing. For example, if forms Q112, Q113, Q114, and Q116 are present, and Q115 is not, please provide me with the number Q115.</w:t>
      </w:r>
    </w:p>
    <w:p w14:paraId="7899D625" w14:textId="77777777" w:rsidR="00195042" w:rsidRPr="00195042" w:rsidRDefault="00195042" w:rsidP="00195042">
      <w:r w:rsidRPr="00195042">
        <w:t xml:space="preserve">For clarification, the term ‘door-to-door enquiry form’ is not a form name used by Police Scotland. </w:t>
      </w:r>
      <w:r w:rsidRPr="00195042">
        <w:t xml:space="preserve">  We have interpreted this question to refer to </w:t>
      </w:r>
      <w:r w:rsidRPr="00195042">
        <w:t xml:space="preserve">either ‘House to House Occupants Form’ or the ‘House to House Questionnaire’. </w:t>
      </w:r>
    </w:p>
    <w:p w14:paraId="4816B1B5" w14:textId="0EC9B1D8" w:rsidR="00195042" w:rsidRPr="00195042" w:rsidRDefault="00195042" w:rsidP="00195042">
      <w:r w:rsidRPr="00195042">
        <w:t xml:space="preserve">On that </w:t>
      </w:r>
      <w:r>
        <w:t>basis w</w:t>
      </w:r>
      <w:r w:rsidRPr="00195042">
        <w:t xml:space="preserve">e can confirm that there are no missing occupant forms or questionnaires in respect of </w:t>
      </w:r>
      <w:r>
        <w:t xml:space="preserve">those </w:t>
      </w:r>
      <w:r w:rsidRPr="00195042">
        <w:t xml:space="preserve">enquiries conducted at The Quadrant. </w:t>
      </w:r>
      <w:r w:rsidR="00872B98">
        <w:t xml:space="preserve"> </w:t>
      </w:r>
      <w:r>
        <w:t>Accordingly Section 17 (</w:t>
      </w:r>
      <w:r w:rsidR="00797B13">
        <w:t>N</w:t>
      </w:r>
      <w:r>
        <w:t xml:space="preserve">o information held) applies. </w:t>
      </w:r>
    </w:p>
    <w:p w14:paraId="29AC53C8" w14:textId="77777777" w:rsidR="00195042" w:rsidRDefault="00195042" w:rsidP="00195042">
      <w:pPr>
        <w:rPr>
          <w:rFonts w:ascii="Aptos" w:hAnsi="Aptos"/>
        </w:rPr>
      </w:pPr>
    </w:p>
    <w:p w14:paraId="6F070293" w14:textId="77777777" w:rsidR="0034302B" w:rsidRDefault="0034302B" w:rsidP="0034302B">
      <w:pPr>
        <w:rPr>
          <w:b/>
          <w:bCs/>
          <w:lang w:eastAsia="en-GB"/>
        </w:rPr>
      </w:pPr>
    </w:p>
    <w:p w14:paraId="0174C28A" w14:textId="77777777" w:rsidR="0034302B" w:rsidRDefault="0034302B" w:rsidP="0034302B">
      <w:pPr>
        <w:rPr>
          <w:rFonts w:ascii="Aptos" w:hAnsi="Aptos"/>
          <w:b/>
          <w:bCs/>
          <w:lang w:eastAsia="en-GB"/>
        </w:rPr>
      </w:pPr>
    </w:p>
    <w:p w14:paraId="3ABBB8E5" w14:textId="20B9FD0F" w:rsidR="0034302B" w:rsidRPr="00797B13" w:rsidRDefault="00797B13" w:rsidP="0034302B">
      <w:pPr>
        <w:rPr>
          <w:rFonts w:ascii="Calibri" w:hAnsi="Calibri"/>
          <w:b/>
          <w:bCs/>
          <w:lang w:eastAsia="en-GB"/>
        </w:rPr>
      </w:pPr>
      <w:r>
        <w:rPr>
          <w:b/>
          <w:bCs/>
          <w:lang w:eastAsia="en-GB"/>
        </w:rPr>
        <w:t xml:space="preserve">5. </w:t>
      </w:r>
      <w:r w:rsidR="0034302B">
        <w:rPr>
          <w:b/>
          <w:bCs/>
          <w:lang w:eastAsia="en-GB"/>
        </w:rPr>
        <w:t>If any forms seem to be missing, please indicate which house address this missing form would appear to relate to. Of course one can't guess, but the address would be suggested by the details of the two forms either side of it numerically. So, please provide the addresses for each form numerically proceeding and succeeding each apparently missing one (to continue the above example, if Q115 appears to be missing, please provide the house addresses which are contained in Q114 and Q116. This would at least indicate the likely address of the missing form).</w:t>
      </w:r>
      <w:r>
        <w:rPr>
          <w:rFonts w:ascii="Calibri" w:hAnsi="Calibri"/>
          <w:b/>
          <w:bCs/>
          <w:lang w:eastAsia="en-GB"/>
        </w:rPr>
        <w:t xml:space="preserve">  </w:t>
      </w:r>
      <w:r w:rsidR="0034302B">
        <w:rPr>
          <w:b/>
          <w:bCs/>
          <w:lang w:eastAsia="en-GB"/>
        </w:rPr>
        <w:t>Beyond determining this using any gaps in the numbering of the questionnaires which are held, please also provide the number of any other known instances of questionnaire forms going missing.</w:t>
      </w:r>
    </w:p>
    <w:p w14:paraId="0FE74F4E" w14:textId="7DBA826E" w:rsidR="00AD2663" w:rsidRDefault="00797B13" w:rsidP="003F2BCB">
      <w:r>
        <w:t xml:space="preserve">Please see the response at Q4 above. </w:t>
      </w:r>
    </w:p>
    <w:p w14:paraId="507C7803" w14:textId="77777777" w:rsidR="00797B13" w:rsidRPr="003F2BCB" w:rsidRDefault="00797B13"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536C9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B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75CD7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B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30ED2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B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2C998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B9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2A0DA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B9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0996D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2B9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0F10ABE"/>
    <w:multiLevelType w:val="hybridMultilevel"/>
    <w:tmpl w:val="259C44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2"/>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1"/>
  </w:num>
  <w:num w:numId="12" w16cid:durableId="1900633814">
    <w:abstractNumId w:val="8"/>
  </w:num>
  <w:num w:numId="13" w16cid:durableId="949316813">
    <w:abstractNumId w:val="5"/>
  </w:num>
  <w:num w:numId="14" w16cid:durableId="1799058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042"/>
    <w:rsid w:val="00195CC4"/>
    <w:rsid w:val="00201EA3"/>
    <w:rsid w:val="00253DF6"/>
    <w:rsid w:val="00255F1E"/>
    <w:rsid w:val="00285081"/>
    <w:rsid w:val="002A0D4A"/>
    <w:rsid w:val="002C1F1E"/>
    <w:rsid w:val="002D05D0"/>
    <w:rsid w:val="003210B9"/>
    <w:rsid w:val="0034302B"/>
    <w:rsid w:val="00354652"/>
    <w:rsid w:val="0036503B"/>
    <w:rsid w:val="003D5169"/>
    <w:rsid w:val="003D6D03"/>
    <w:rsid w:val="003E12CA"/>
    <w:rsid w:val="003F2BCB"/>
    <w:rsid w:val="004010DC"/>
    <w:rsid w:val="0040137A"/>
    <w:rsid w:val="004341F0"/>
    <w:rsid w:val="0043796F"/>
    <w:rsid w:val="00456324"/>
    <w:rsid w:val="004633AE"/>
    <w:rsid w:val="00475460"/>
    <w:rsid w:val="00476421"/>
    <w:rsid w:val="00490317"/>
    <w:rsid w:val="00491644"/>
    <w:rsid w:val="00496A08"/>
    <w:rsid w:val="004E1605"/>
    <w:rsid w:val="004F4E24"/>
    <w:rsid w:val="004F653C"/>
    <w:rsid w:val="0050340A"/>
    <w:rsid w:val="00524696"/>
    <w:rsid w:val="00540A52"/>
    <w:rsid w:val="00545ADB"/>
    <w:rsid w:val="00557306"/>
    <w:rsid w:val="005816D1"/>
    <w:rsid w:val="00584F7D"/>
    <w:rsid w:val="005C0D87"/>
    <w:rsid w:val="005E6A4B"/>
    <w:rsid w:val="006450FE"/>
    <w:rsid w:val="00663826"/>
    <w:rsid w:val="006B7DCB"/>
    <w:rsid w:val="00705EB9"/>
    <w:rsid w:val="00706E8D"/>
    <w:rsid w:val="00720E45"/>
    <w:rsid w:val="007371CC"/>
    <w:rsid w:val="00747352"/>
    <w:rsid w:val="00750D83"/>
    <w:rsid w:val="00793DD5"/>
    <w:rsid w:val="00797B13"/>
    <w:rsid w:val="007B04DB"/>
    <w:rsid w:val="007C03BC"/>
    <w:rsid w:val="007D2175"/>
    <w:rsid w:val="007D21C9"/>
    <w:rsid w:val="007D55F6"/>
    <w:rsid w:val="007F490F"/>
    <w:rsid w:val="007F759B"/>
    <w:rsid w:val="00844890"/>
    <w:rsid w:val="0086779C"/>
    <w:rsid w:val="00872B98"/>
    <w:rsid w:val="00874BFD"/>
    <w:rsid w:val="008964EF"/>
    <w:rsid w:val="009363C7"/>
    <w:rsid w:val="00961F08"/>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75BE2"/>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16374793">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237595602">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36637594">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1160</Words>
  <Characters>6613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2025-01-13T16:57:00Z</dcterms:created>
  <dcterms:modified xsi:type="dcterms:W3CDTF">2025-01-13T17:20:00Z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