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7BC79DE" w:rsidR="00B17211" w:rsidRPr="00B17211" w:rsidRDefault="00B17211" w:rsidP="007F490F">
            <w:r w:rsidRPr="007F490F">
              <w:rPr>
                <w:rStyle w:val="Heading2Char"/>
              </w:rPr>
              <w:t>Our reference:</w:t>
            </w:r>
            <w:r>
              <w:t xml:space="preserve">  FOI 2</w:t>
            </w:r>
            <w:r w:rsidR="00B654B6">
              <w:t>4</w:t>
            </w:r>
            <w:r>
              <w:t>-</w:t>
            </w:r>
            <w:r w:rsidR="007A7AF5">
              <w:t>3146</w:t>
            </w:r>
          </w:p>
          <w:p w14:paraId="34BDABA6" w14:textId="35A50912" w:rsidR="00B17211" w:rsidRDefault="00456324" w:rsidP="00EE2373">
            <w:r w:rsidRPr="007F490F">
              <w:rPr>
                <w:rStyle w:val="Heading2Char"/>
              </w:rPr>
              <w:t>Respon</w:t>
            </w:r>
            <w:r w:rsidR="007D55F6">
              <w:rPr>
                <w:rStyle w:val="Heading2Char"/>
              </w:rPr>
              <w:t>ded to:</w:t>
            </w:r>
            <w:r w:rsidR="007F490F">
              <w:t xml:space="preserve">  </w:t>
            </w:r>
            <w:r w:rsidR="009C11BC">
              <w:t>28</w:t>
            </w:r>
            <w:r w:rsidR="007A7AF5">
              <w:t xml:space="preserve"> January </w:t>
            </w:r>
            <w:r>
              <w:t>202</w:t>
            </w:r>
            <w:r w:rsidR="007A7AF5">
              <w:t>5</w:t>
            </w:r>
          </w:p>
        </w:tc>
      </w:tr>
    </w:tbl>
    <w:p w14:paraId="34BDABA8" w14:textId="07B58C18"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936C3A" w:rsidRPr="00793DD5">
        <w:t>.</w:t>
      </w:r>
      <w:r w:rsidR="00936C3A">
        <w:t xml:space="preserve"> </w:t>
      </w:r>
      <w:r w:rsidR="0052277D">
        <w:t>Please accept my apologies for the delay in responding.</w:t>
      </w:r>
    </w:p>
    <w:p w14:paraId="634CDC41" w14:textId="77777777" w:rsidR="007A7AF5" w:rsidRDefault="007A7AF5" w:rsidP="007A7AF5">
      <w:pPr>
        <w:pStyle w:val="Heading2"/>
      </w:pPr>
      <w:r w:rsidRPr="007A7AF5">
        <w:t>1.  Since 1st April 2014, how many serving police officers have been subject to a misconduct assessment in respect of solely data protection matters?</w:t>
      </w:r>
    </w:p>
    <w:p w14:paraId="2527175F" w14:textId="3C1F3604" w:rsidR="00966E6D" w:rsidRDefault="00966E6D" w:rsidP="00966E6D">
      <w:r w:rsidRPr="00966E6D">
        <w:t xml:space="preserve">The formal conduct process for Police Officers is governed by </w:t>
      </w:r>
      <w:hyperlink r:id="rId11" w:history="1">
        <w:r w:rsidRPr="00966E6D">
          <w:rPr>
            <w:rStyle w:val="Hyperlink"/>
          </w:rPr>
          <w:t>The Police Service of Scotland (Conduct) Regulations 2014</w:t>
        </w:r>
      </w:hyperlink>
      <w:r w:rsidRPr="00966E6D">
        <w:t xml:space="preserve">.  The associated </w:t>
      </w:r>
      <w:hyperlink r:id="rId12" w:history="1">
        <w:r w:rsidRPr="00966E6D">
          <w:rPr>
            <w:rStyle w:val="Hyperlink"/>
          </w:rPr>
          <w:t>Scottish Government Guidance Document</w:t>
        </w:r>
      </w:hyperlink>
      <w:r w:rsidRPr="00966E6D">
        <w:t xml:space="preserve"> further details the process and conduct cases are categorised in line with our </w:t>
      </w:r>
      <w:hyperlink r:id="rId13" w:history="1">
        <w:r w:rsidRPr="00966E6D">
          <w:rPr>
            <w:rStyle w:val="Hyperlink"/>
          </w:rPr>
          <w:t>Standards of Professional Behaviour</w:t>
        </w:r>
      </w:hyperlink>
      <w:r w:rsidRPr="00966E6D">
        <w:t>.</w:t>
      </w:r>
    </w:p>
    <w:p w14:paraId="6ECE9ADD" w14:textId="7660E7F1" w:rsidR="00AA5C16" w:rsidRDefault="007B2080" w:rsidP="007A7AF5">
      <w:r>
        <w:t xml:space="preserve">The recording of </w:t>
      </w:r>
      <w:r w:rsidR="000419F0">
        <w:t>allegations</w:t>
      </w:r>
      <w:r>
        <w:t xml:space="preserve"> involving Data Protection on the </w:t>
      </w:r>
      <w:r w:rsidRPr="007A7AF5">
        <w:t xml:space="preserve">Professional Standards database commenced around </w:t>
      </w:r>
      <w:r w:rsidR="00A03D84">
        <w:t xml:space="preserve">February </w:t>
      </w:r>
      <w:r w:rsidR="00A03D84" w:rsidRPr="007A7AF5">
        <w:t>2016 onwards</w:t>
      </w:r>
      <w:r>
        <w:t xml:space="preserve"> and therefore the data </w:t>
      </w:r>
      <w:r w:rsidR="000419F0">
        <w:t xml:space="preserve">can only be </w:t>
      </w:r>
      <w:r>
        <w:t>provided from this date</w:t>
      </w:r>
      <w:r w:rsidR="00A03D84" w:rsidRPr="007A7AF5">
        <w:t xml:space="preserve">. </w:t>
      </w:r>
      <w:r w:rsidR="007A7AF5" w:rsidRPr="007A7AF5">
        <w:t xml:space="preserve">Figures provided in the table below detail the number of subject officers linked to an allegation involving a data protection </w:t>
      </w:r>
      <w:r w:rsidR="000419F0">
        <w:t>allegation</w:t>
      </w:r>
      <w:r w:rsidR="007A7AF5" w:rsidRPr="007A7AF5">
        <w:t xml:space="preserve"> and subject to a Regulation 10 </w:t>
      </w:r>
      <w:r w:rsidR="000419F0">
        <w:t xml:space="preserve">[of </w:t>
      </w:r>
      <w:r w:rsidR="002B43AF">
        <w:t xml:space="preserve">the </w:t>
      </w:r>
      <w:r w:rsidR="000419F0">
        <w:t xml:space="preserve">Police </w:t>
      </w:r>
      <w:r w:rsidR="002B43AF">
        <w:t xml:space="preserve">Service of Scotland (Conduct) Regulations 2014] </w:t>
      </w:r>
      <w:r w:rsidR="007A7AF5" w:rsidRPr="007A7AF5">
        <w:t xml:space="preserve">preliminary assessment for these allegations. </w:t>
      </w:r>
    </w:p>
    <w:p w14:paraId="3925F281" w14:textId="2B4291D6" w:rsidR="007A7AF5" w:rsidRPr="007A7AF5" w:rsidRDefault="007A7AF5" w:rsidP="007A7AF5">
      <w:r w:rsidRPr="007A7AF5">
        <w:t xml:space="preserve">As per the specifics of your request, cases which involve only allegations with a data protection circumstance have been included in the data we have provided. Please note any cases which involve allegations with a data protection circumstance alongside other types of </w:t>
      </w:r>
      <w:r w:rsidR="00AA5C16" w:rsidRPr="007A7AF5">
        <w:t>allegations</w:t>
      </w:r>
      <w:r w:rsidRPr="007A7AF5">
        <w:t xml:space="preserve"> (i.e. not data protection related) are excluded from the data provided below. </w:t>
      </w:r>
    </w:p>
    <w:p w14:paraId="5DE623C2" w14:textId="168A8203" w:rsidR="007A7AF5" w:rsidRDefault="007A7AF5" w:rsidP="007A7AF5">
      <w:pPr>
        <w:rPr>
          <w:i/>
          <w:iCs/>
          <w:vertAlign w:val="superscript"/>
        </w:rPr>
      </w:pPr>
      <w:r w:rsidRPr="007A7AF5">
        <w:rPr>
          <w:i/>
          <w:iCs/>
        </w:rPr>
        <w:t>Table</w:t>
      </w:r>
      <w:r w:rsidR="00AA5C16">
        <w:rPr>
          <w:i/>
          <w:iCs/>
        </w:rPr>
        <w:t xml:space="preserve"> 1</w:t>
      </w:r>
      <w:r w:rsidRPr="007A7AF5">
        <w:rPr>
          <w:i/>
          <w:iCs/>
        </w:rPr>
        <w:t xml:space="preserve">: </w:t>
      </w:r>
      <w:r w:rsidR="00AA5C16">
        <w:rPr>
          <w:i/>
          <w:iCs/>
        </w:rPr>
        <w:t>Number of r</w:t>
      </w:r>
      <w:r w:rsidRPr="007A7AF5">
        <w:rPr>
          <w:i/>
          <w:iCs/>
        </w:rPr>
        <w:t xml:space="preserve">egulation 10 preliminary assessments for cases involving only data protection allegations, by financial year </w:t>
      </w:r>
      <w:r w:rsidRPr="007A7AF5">
        <w:rPr>
          <w:i/>
          <w:iCs/>
          <w:vertAlign w:val="superscript"/>
        </w:rPr>
        <w:t>1 2 3</w:t>
      </w:r>
    </w:p>
    <w:tbl>
      <w:tblPr>
        <w:tblStyle w:val="TableGrid"/>
        <w:tblW w:w="9776" w:type="dxa"/>
        <w:tblLook w:val="04A0" w:firstRow="1" w:lastRow="0" w:firstColumn="1" w:lastColumn="0" w:noHBand="0" w:noVBand="1"/>
      </w:tblPr>
      <w:tblGrid>
        <w:gridCol w:w="1012"/>
        <w:gridCol w:w="1012"/>
        <w:gridCol w:w="1012"/>
        <w:gridCol w:w="1012"/>
        <w:gridCol w:w="1012"/>
        <w:gridCol w:w="1012"/>
        <w:gridCol w:w="1012"/>
        <w:gridCol w:w="1012"/>
        <w:gridCol w:w="1012"/>
        <w:gridCol w:w="1012"/>
      </w:tblGrid>
      <w:tr w:rsidR="00AA5C16" w14:paraId="62AB5DD5" w14:textId="77777777" w:rsidTr="00AA5C16">
        <w:tc>
          <w:tcPr>
            <w:tcW w:w="962" w:type="dxa"/>
          </w:tcPr>
          <w:p w14:paraId="6454EB4B" w14:textId="28057EE8" w:rsidR="00AA5C16" w:rsidRPr="00AA5C16" w:rsidRDefault="00AA5C16" w:rsidP="007A7AF5">
            <w:pPr>
              <w:rPr>
                <w:sz w:val="22"/>
                <w:szCs w:val="22"/>
              </w:rPr>
            </w:pPr>
            <w:r w:rsidRPr="00AA5C16">
              <w:rPr>
                <w:sz w:val="22"/>
                <w:szCs w:val="22"/>
              </w:rPr>
              <w:t>2015/16</w:t>
            </w:r>
          </w:p>
        </w:tc>
        <w:tc>
          <w:tcPr>
            <w:tcW w:w="962" w:type="dxa"/>
          </w:tcPr>
          <w:p w14:paraId="28D376FC" w14:textId="02ECBEA4" w:rsidR="00AA5C16" w:rsidRPr="00AA5C16" w:rsidRDefault="00AA5C16" w:rsidP="007A7AF5">
            <w:pPr>
              <w:rPr>
                <w:sz w:val="22"/>
                <w:szCs w:val="22"/>
              </w:rPr>
            </w:pPr>
            <w:r w:rsidRPr="00AA5C16">
              <w:rPr>
                <w:sz w:val="22"/>
                <w:szCs w:val="22"/>
              </w:rPr>
              <w:t>2016/17</w:t>
            </w:r>
          </w:p>
        </w:tc>
        <w:tc>
          <w:tcPr>
            <w:tcW w:w="963" w:type="dxa"/>
          </w:tcPr>
          <w:p w14:paraId="4286D87B" w14:textId="392EA83C" w:rsidR="00AA5C16" w:rsidRPr="00AA5C16" w:rsidRDefault="00AA5C16" w:rsidP="007A7AF5">
            <w:pPr>
              <w:rPr>
                <w:sz w:val="22"/>
                <w:szCs w:val="22"/>
              </w:rPr>
            </w:pPr>
            <w:r w:rsidRPr="00AA5C16">
              <w:rPr>
                <w:sz w:val="22"/>
                <w:szCs w:val="22"/>
              </w:rPr>
              <w:t>2017/18</w:t>
            </w:r>
          </w:p>
        </w:tc>
        <w:tc>
          <w:tcPr>
            <w:tcW w:w="963" w:type="dxa"/>
          </w:tcPr>
          <w:p w14:paraId="53887A1C" w14:textId="09F2CBF3" w:rsidR="00AA5C16" w:rsidRPr="00AA5C16" w:rsidRDefault="00AA5C16" w:rsidP="007A7AF5">
            <w:pPr>
              <w:rPr>
                <w:sz w:val="22"/>
                <w:szCs w:val="22"/>
              </w:rPr>
            </w:pPr>
            <w:r w:rsidRPr="00AA5C16">
              <w:rPr>
                <w:sz w:val="22"/>
                <w:szCs w:val="22"/>
              </w:rPr>
              <w:t>2018/19</w:t>
            </w:r>
          </w:p>
        </w:tc>
        <w:tc>
          <w:tcPr>
            <w:tcW w:w="963" w:type="dxa"/>
          </w:tcPr>
          <w:p w14:paraId="35C178D6" w14:textId="6A0BB3FA" w:rsidR="00AA5C16" w:rsidRPr="00AA5C16" w:rsidRDefault="00AA5C16" w:rsidP="007A7AF5">
            <w:pPr>
              <w:rPr>
                <w:sz w:val="22"/>
                <w:szCs w:val="22"/>
              </w:rPr>
            </w:pPr>
            <w:r w:rsidRPr="00AA5C16">
              <w:rPr>
                <w:sz w:val="22"/>
                <w:szCs w:val="22"/>
              </w:rPr>
              <w:t>2019/20</w:t>
            </w:r>
          </w:p>
        </w:tc>
        <w:tc>
          <w:tcPr>
            <w:tcW w:w="963" w:type="dxa"/>
          </w:tcPr>
          <w:p w14:paraId="5A457C76" w14:textId="3C5162E8" w:rsidR="00AA5C16" w:rsidRPr="00AA5C16" w:rsidRDefault="00AA5C16" w:rsidP="007A7AF5">
            <w:pPr>
              <w:rPr>
                <w:sz w:val="22"/>
                <w:szCs w:val="22"/>
              </w:rPr>
            </w:pPr>
            <w:r w:rsidRPr="00AA5C16">
              <w:rPr>
                <w:sz w:val="22"/>
                <w:szCs w:val="22"/>
              </w:rPr>
              <w:t>2020/21</w:t>
            </w:r>
          </w:p>
        </w:tc>
        <w:tc>
          <w:tcPr>
            <w:tcW w:w="963" w:type="dxa"/>
          </w:tcPr>
          <w:p w14:paraId="36C4A916" w14:textId="3CE3B8D5" w:rsidR="00AA5C16" w:rsidRPr="00AA5C16" w:rsidRDefault="00AA5C16" w:rsidP="007A7AF5">
            <w:pPr>
              <w:rPr>
                <w:sz w:val="22"/>
                <w:szCs w:val="22"/>
              </w:rPr>
            </w:pPr>
            <w:r w:rsidRPr="00AA5C16">
              <w:rPr>
                <w:sz w:val="22"/>
                <w:szCs w:val="22"/>
              </w:rPr>
              <w:t>2012/22</w:t>
            </w:r>
          </w:p>
        </w:tc>
        <w:tc>
          <w:tcPr>
            <w:tcW w:w="963" w:type="dxa"/>
          </w:tcPr>
          <w:p w14:paraId="31979240" w14:textId="36187D98" w:rsidR="00AA5C16" w:rsidRPr="00AA5C16" w:rsidRDefault="00AA5C16" w:rsidP="007A7AF5">
            <w:pPr>
              <w:rPr>
                <w:sz w:val="22"/>
                <w:szCs w:val="22"/>
              </w:rPr>
            </w:pPr>
            <w:r w:rsidRPr="00AA5C16">
              <w:rPr>
                <w:sz w:val="22"/>
                <w:szCs w:val="22"/>
              </w:rPr>
              <w:t>2022/23</w:t>
            </w:r>
          </w:p>
        </w:tc>
        <w:tc>
          <w:tcPr>
            <w:tcW w:w="963" w:type="dxa"/>
          </w:tcPr>
          <w:p w14:paraId="1ED27240" w14:textId="167E36FF" w:rsidR="00AA5C16" w:rsidRPr="00AA5C16" w:rsidRDefault="00AA5C16" w:rsidP="007A7AF5">
            <w:pPr>
              <w:rPr>
                <w:sz w:val="22"/>
                <w:szCs w:val="22"/>
              </w:rPr>
            </w:pPr>
            <w:r w:rsidRPr="00AA5C16">
              <w:rPr>
                <w:sz w:val="22"/>
                <w:szCs w:val="22"/>
              </w:rPr>
              <w:t>2023/24</w:t>
            </w:r>
          </w:p>
        </w:tc>
        <w:tc>
          <w:tcPr>
            <w:tcW w:w="1111" w:type="dxa"/>
          </w:tcPr>
          <w:p w14:paraId="0A75C24B" w14:textId="2275F66A" w:rsidR="00AA5C16" w:rsidRPr="00AA5C16" w:rsidRDefault="00AA5C16" w:rsidP="007A7AF5">
            <w:pPr>
              <w:rPr>
                <w:sz w:val="22"/>
                <w:szCs w:val="22"/>
              </w:rPr>
            </w:pPr>
            <w:r w:rsidRPr="00AA5C16">
              <w:rPr>
                <w:sz w:val="22"/>
                <w:szCs w:val="22"/>
              </w:rPr>
              <w:t>2024/25</w:t>
            </w:r>
          </w:p>
        </w:tc>
      </w:tr>
      <w:tr w:rsidR="00AA5C16" w14:paraId="642837EF" w14:textId="77777777" w:rsidTr="00AA5C16">
        <w:tc>
          <w:tcPr>
            <w:tcW w:w="962" w:type="dxa"/>
          </w:tcPr>
          <w:p w14:paraId="01EDC7F0" w14:textId="2ED6AD82" w:rsidR="00AA5C16" w:rsidRPr="00AA5C16" w:rsidRDefault="00AA5C16" w:rsidP="007A7AF5">
            <w:pPr>
              <w:rPr>
                <w:sz w:val="22"/>
                <w:szCs w:val="22"/>
              </w:rPr>
            </w:pPr>
            <w:r>
              <w:rPr>
                <w:sz w:val="22"/>
                <w:szCs w:val="22"/>
              </w:rPr>
              <w:t>6</w:t>
            </w:r>
          </w:p>
        </w:tc>
        <w:tc>
          <w:tcPr>
            <w:tcW w:w="962" w:type="dxa"/>
          </w:tcPr>
          <w:p w14:paraId="1A1BF657" w14:textId="7CCB28E4" w:rsidR="00AA5C16" w:rsidRPr="00AA5C16" w:rsidRDefault="00AA5C16" w:rsidP="007A7AF5">
            <w:pPr>
              <w:rPr>
                <w:sz w:val="22"/>
                <w:szCs w:val="22"/>
              </w:rPr>
            </w:pPr>
            <w:r>
              <w:rPr>
                <w:sz w:val="22"/>
                <w:szCs w:val="22"/>
              </w:rPr>
              <w:t>8</w:t>
            </w:r>
          </w:p>
        </w:tc>
        <w:tc>
          <w:tcPr>
            <w:tcW w:w="963" w:type="dxa"/>
          </w:tcPr>
          <w:p w14:paraId="0E03C9A5" w14:textId="4D12BAD7" w:rsidR="00AA5C16" w:rsidRPr="00AA5C16" w:rsidRDefault="00AA5C16" w:rsidP="007A7AF5">
            <w:pPr>
              <w:rPr>
                <w:sz w:val="22"/>
                <w:szCs w:val="22"/>
              </w:rPr>
            </w:pPr>
            <w:r>
              <w:rPr>
                <w:sz w:val="22"/>
                <w:szCs w:val="22"/>
              </w:rPr>
              <w:t>14</w:t>
            </w:r>
          </w:p>
        </w:tc>
        <w:tc>
          <w:tcPr>
            <w:tcW w:w="963" w:type="dxa"/>
          </w:tcPr>
          <w:p w14:paraId="3DC62B45" w14:textId="494A1F02" w:rsidR="00AA5C16" w:rsidRPr="00AA5C16" w:rsidRDefault="00AA5C16" w:rsidP="007A7AF5">
            <w:pPr>
              <w:rPr>
                <w:sz w:val="22"/>
                <w:szCs w:val="22"/>
              </w:rPr>
            </w:pPr>
            <w:r>
              <w:rPr>
                <w:sz w:val="22"/>
                <w:szCs w:val="22"/>
              </w:rPr>
              <w:t>14</w:t>
            </w:r>
          </w:p>
        </w:tc>
        <w:tc>
          <w:tcPr>
            <w:tcW w:w="963" w:type="dxa"/>
          </w:tcPr>
          <w:p w14:paraId="7676C15E" w14:textId="45F6649E" w:rsidR="00AA5C16" w:rsidRPr="00AA5C16" w:rsidRDefault="00AA5C16" w:rsidP="007A7AF5">
            <w:pPr>
              <w:rPr>
                <w:sz w:val="22"/>
                <w:szCs w:val="22"/>
              </w:rPr>
            </w:pPr>
            <w:r>
              <w:rPr>
                <w:sz w:val="22"/>
                <w:szCs w:val="22"/>
              </w:rPr>
              <w:t>15</w:t>
            </w:r>
          </w:p>
        </w:tc>
        <w:tc>
          <w:tcPr>
            <w:tcW w:w="963" w:type="dxa"/>
          </w:tcPr>
          <w:p w14:paraId="44E5220B" w14:textId="55A4E538" w:rsidR="00AA5C16" w:rsidRPr="00AA5C16" w:rsidRDefault="00AA5C16" w:rsidP="007A7AF5">
            <w:pPr>
              <w:rPr>
                <w:sz w:val="22"/>
                <w:szCs w:val="22"/>
              </w:rPr>
            </w:pPr>
            <w:r>
              <w:rPr>
                <w:sz w:val="22"/>
                <w:szCs w:val="22"/>
              </w:rPr>
              <w:t>22</w:t>
            </w:r>
          </w:p>
        </w:tc>
        <w:tc>
          <w:tcPr>
            <w:tcW w:w="963" w:type="dxa"/>
          </w:tcPr>
          <w:p w14:paraId="2557D33E" w14:textId="71513B2E" w:rsidR="00AA5C16" w:rsidRPr="00AA5C16" w:rsidRDefault="00AA5C16" w:rsidP="007A7AF5">
            <w:pPr>
              <w:rPr>
                <w:sz w:val="22"/>
                <w:szCs w:val="22"/>
              </w:rPr>
            </w:pPr>
            <w:r>
              <w:rPr>
                <w:sz w:val="22"/>
                <w:szCs w:val="22"/>
              </w:rPr>
              <w:t>19</w:t>
            </w:r>
          </w:p>
        </w:tc>
        <w:tc>
          <w:tcPr>
            <w:tcW w:w="963" w:type="dxa"/>
          </w:tcPr>
          <w:p w14:paraId="354FC3CC" w14:textId="54585064" w:rsidR="00AA5C16" w:rsidRPr="00AA5C16" w:rsidRDefault="00AA5C16" w:rsidP="007A7AF5">
            <w:pPr>
              <w:rPr>
                <w:sz w:val="22"/>
                <w:szCs w:val="22"/>
              </w:rPr>
            </w:pPr>
            <w:r>
              <w:rPr>
                <w:sz w:val="22"/>
                <w:szCs w:val="22"/>
              </w:rPr>
              <w:t>5</w:t>
            </w:r>
          </w:p>
        </w:tc>
        <w:tc>
          <w:tcPr>
            <w:tcW w:w="963" w:type="dxa"/>
          </w:tcPr>
          <w:p w14:paraId="50172D85" w14:textId="33CAC0BE" w:rsidR="00AA5C16" w:rsidRPr="00AA5C16" w:rsidRDefault="00AA5C16" w:rsidP="007A7AF5">
            <w:pPr>
              <w:rPr>
                <w:sz w:val="22"/>
                <w:szCs w:val="22"/>
              </w:rPr>
            </w:pPr>
            <w:r>
              <w:rPr>
                <w:sz w:val="22"/>
                <w:szCs w:val="22"/>
              </w:rPr>
              <w:t>18</w:t>
            </w:r>
          </w:p>
        </w:tc>
        <w:tc>
          <w:tcPr>
            <w:tcW w:w="1111" w:type="dxa"/>
          </w:tcPr>
          <w:p w14:paraId="243A1AF0" w14:textId="30EC6C65" w:rsidR="00AA5C16" w:rsidRPr="00AA5C16" w:rsidRDefault="00AA5C16" w:rsidP="007A7AF5">
            <w:pPr>
              <w:rPr>
                <w:sz w:val="22"/>
                <w:szCs w:val="22"/>
              </w:rPr>
            </w:pPr>
            <w:r>
              <w:rPr>
                <w:sz w:val="22"/>
                <w:szCs w:val="22"/>
              </w:rPr>
              <w:t>17</w:t>
            </w:r>
          </w:p>
        </w:tc>
      </w:tr>
    </w:tbl>
    <w:p w14:paraId="0B9F6059" w14:textId="781D5911" w:rsidR="007A7AF5" w:rsidRPr="007A7AF5" w:rsidRDefault="00936C3A" w:rsidP="007A7AF5">
      <w:r w:rsidRPr="007A7AF5">
        <w:t>1.</w:t>
      </w:r>
      <w:r w:rsidR="007A7AF5" w:rsidRPr="007A7AF5">
        <w:t xml:space="preserve"> Data is based on the Regulation 10 preliminary assessment date. </w:t>
      </w:r>
    </w:p>
    <w:p w14:paraId="7C3FDC9E" w14:textId="1C43DADA" w:rsidR="007A7AF5" w:rsidRPr="007A7AF5" w:rsidRDefault="00936C3A" w:rsidP="007A7AF5">
      <w:r w:rsidRPr="007A7AF5">
        <w:lastRenderedPageBreak/>
        <w:t>2.</w:t>
      </w:r>
      <w:r w:rsidR="007A7AF5" w:rsidRPr="007A7AF5">
        <w:t xml:space="preserve"> Data for 2015/16 covers the period of 01/02/2016 – 31/03/2016 inclusive. </w:t>
      </w:r>
    </w:p>
    <w:p w14:paraId="38FF92A2" w14:textId="273AF7BC" w:rsidR="007A7AF5" w:rsidRDefault="00936C3A" w:rsidP="007A7AF5">
      <w:r w:rsidRPr="007A7AF5">
        <w:t>3.</w:t>
      </w:r>
      <w:r w:rsidR="007A7AF5" w:rsidRPr="007A7AF5">
        <w:t xml:space="preserve"> Data for 2024/25 covers the period of 01/04/2024 – 16/12/2024 inclusive. </w:t>
      </w:r>
    </w:p>
    <w:p w14:paraId="04A5AD3A" w14:textId="77777777" w:rsidR="006C6460" w:rsidRPr="007A7AF5" w:rsidRDefault="006C6460" w:rsidP="007A7AF5"/>
    <w:p w14:paraId="1EED3C89" w14:textId="77777777" w:rsidR="007A7AF5" w:rsidRPr="007A7AF5" w:rsidRDefault="007A7AF5" w:rsidP="007A7AF5">
      <w:pPr>
        <w:pStyle w:val="Heading2"/>
      </w:pPr>
      <w:r w:rsidRPr="007A7AF5">
        <w:t>2. For the same time frame, how many of those identified in question 1 have been subject of a misconduct or gross misconduct investigation?</w:t>
      </w:r>
    </w:p>
    <w:p w14:paraId="28D7BCC9" w14:textId="0E193BCD" w:rsidR="00F50834" w:rsidRDefault="00966E6D" w:rsidP="009D1C26">
      <w:r>
        <w:t>Regulation 11 of the Regulations relates to the serving of a notification of investigation (misconduct or gross misconduct)</w:t>
      </w:r>
      <w:r w:rsidR="00FE05CD">
        <w:t xml:space="preserve"> to the subject officer</w:t>
      </w:r>
      <w:r w:rsidR="00F50834">
        <w:t>.</w:t>
      </w:r>
      <w:r>
        <w:t xml:space="preserve">  </w:t>
      </w:r>
      <w:r w:rsidR="007A7AF5" w:rsidRPr="007A7AF5">
        <w:t>Figures provided in the table below detail the number of misconduct investigations for subject officers linked to an allegation involving a data protection circumstance</w:t>
      </w:r>
      <w:r>
        <w:t xml:space="preserve"> who</w:t>
      </w:r>
      <w:r w:rsidR="007A7AF5" w:rsidRPr="007A7AF5">
        <w:t xml:space="preserve"> having been subject to a Regulation 10 preliminary assessment </w:t>
      </w:r>
      <w:r>
        <w:t xml:space="preserve">have then been subject to a Regulation 11 </w:t>
      </w:r>
      <w:r w:rsidR="00F50834">
        <w:t>notice.</w:t>
      </w:r>
    </w:p>
    <w:p w14:paraId="74474EEC" w14:textId="77777777" w:rsidR="00F50834" w:rsidRDefault="00F50834" w:rsidP="009D1C26"/>
    <w:p w14:paraId="7121BDCF" w14:textId="449A6DA7" w:rsidR="007A7AF5" w:rsidRDefault="007A7AF5" w:rsidP="009D1C26">
      <w:r w:rsidRPr="007A7AF5">
        <w:t>Th</w:t>
      </w:r>
      <w:r w:rsidR="00F50834">
        <w:t>e</w:t>
      </w:r>
      <w:r w:rsidRPr="007A7AF5">
        <w:t xml:space="preserve"> data </w:t>
      </w:r>
      <w:r w:rsidR="00F50834">
        <w:t xml:space="preserve">below </w:t>
      </w:r>
      <w:r w:rsidRPr="007A7AF5">
        <w:t>is based on the Regulation 10 preliminary assessment date. Please note the Regulation 11 notice of investigation date may vary from the Regulation 10 preliminary assessment date</w:t>
      </w:r>
      <w:r w:rsidR="00F50834">
        <w:t xml:space="preserve"> as </w:t>
      </w:r>
      <w:r w:rsidRPr="007A7AF5">
        <w:t xml:space="preserve">the Regulation 11 notice of investigation may occur </w:t>
      </w:r>
      <w:r w:rsidR="002B43AF">
        <w:t>and be recorded o</w:t>
      </w:r>
      <w:r w:rsidRPr="007A7AF5">
        <w:t>n a different financial year</w:t>
      </w:r>
      <w:r w:rsidR="00F50834">
        <w:t xml:space="preserve"> from the original Regulation 10 preliminary assessment</w:t>
      </w:r>
      <w:r w:rsidRPr="007A7AF5">
        <w:t>.</w:t>
      </w:r>
    </w:p>
    <w:p w14:paraId="48BEAEB4" w14:textId="77777777" w:rsidR="00F50834" w:rsidRPr="007A7AF5" w:rsidRDefault="00F50834" w:rsidP="009D1C26"/>
    <w:p w14:paraId="42CFEC4D" w14:textId="6764C057" w:rsidR="007A7AF5" w:rsidRPr="007A7AF5" w:rsidRDefault="007A7AF5" w:rsidP="009D1C26">
      <w:pPr>
        <w:rPr>
          <w:i/>
          <w:iCs/>
        </w:rPr>
      </w:pPr>
      <w:r w:rsidRPr="007A7AF5">
        <w:rPr>
          <w:i/>
          <w:iCs/>
        </w:rPr>
        <w:t>Table</w:t>
      </w:r>
      <w:r w:rsidR="003A67C3">
        <w:rPr>
          <w:i/>
          <w:iCs/>
        </w:rPr>
        <w:t xml:space="preserve"> 2</w:t>
      </w:r>
      <w:r w:rsidRPr="007A7AF5">
        <w:rPr>
          <w:i/>
          <w:iCs/>
        </w:rPr>
        <w:t xml:space="preserve">: Misconduct investigations following Regulation 10 preliminary assessments for cases involving only data protection allegations, by financial year </w:t>
      </w:r>
      <w:r w:rsidRPr="007A7AF5">
        <w:rPr>
          <w:i/>
          <w:iCs/>
          <w:vertAlign w:val="superscript"/>
        </w:rPr>
        <w:t>1 2 3</w:t>
      </w:r>
    </w:p>
    <w:tbl>
      <w:tblPr>
        <w:tblStyle w:val="TableGrid"/>
        <w:tblW w:w="9776" w:type="dxa"/>
        <w:tblLook w:val="04A0" w:firstRow="1" w:lastRow="0" w:firstColumn="1" w:lastColumn="0" w:noHBand="0" w:noVBand="1"/>
      </w:tblPr>
      <w:tblGrid>
        <w:gridCol w:w="1012"/>
        <w:gridCol w:w="1012"/>
        <w:gridCol w:w="1012"/>
        <w:gridCol w:w="1012"/>
        <w:gridCol w:w="1012"/>
        <w:gridCol w:w="1012"/>
        <w:gridCol w:w="1012"/>
        <w:gridCol w:w="1012"/>
        <w:gridCol w:w="1012"/>
        <w:gridCol w:w="1012"/>
      </w:tblGrid>
      <w:tr w:rsidR="00AA5C16" w14:paraId="77093759" w14:textId="77777777" w:rsidTr="003B7B81">
        <w:tc>
          <w:tcPr>
            <w:tcW w:w="962" w:type="dxa"/>
          </w:tcPr>
          <w:p w14:paraId="7CA767FE" w14:textId="77777777" w:rsidR="00AA5C16" w:rsidRPr="00AA5C16" w:rsidRDefault="00AA5C16" w:rsidP="003B7B81">
            <w:pPr>
              <w:rPr>
                <w:sz w:val="22"/>
                <w:szCs w:val="22"/>
              </w:rPr>
            </w:pPr>
            <w:r w:rsidRPr="00AA5C16">
              <w:rPr>
                <w:sz w:val="22"/>
                <w:szCs w:val="22"/>
              </w:rPr>
              <w:t>2015/16</w:t>
            </w:r>
          </w:p>
        </w:tc>
        <w:tc>
          <w:tcPr>
            <w:tcW w:w="962" w:type="dxa"/>
          </w:tcPr>
          <w:p w14:paraId="3D4D661F" w14:textId="77777777" w:rsidR="00AA5C16" w:rsidRPr="00AA5C16" w:rsidRDefault="00AA5C16" w:rsidP="003B7B81">
            <w:pPr>
              <w:rPr>
                <w:sz w:val="22"/>
                <w:szCs w:val="22"/>
              </w:rPr>
            </w:pPr>
            <w:r w:rsidRPr="00AA5C16">
              <w:rPr>
                <w:sz w:val="22"/>
                <w:szCs w:val="22"/>
              </w:rPr>
              <w:t>2016/17</w:t>
            </w:r>
          </w:p>
        </w:tc>
        <w:tc>
          <w:tcPr>
            <w:tcW w:w="963" w:type="dxa"/>
          </w:tcPr>
          <w:p w14:paraId="5D538E00" w14:textId="77777777" w:rsidR="00AA5C16" w:rsidRPr="00AA5C16" w:rsidRDefault="00AA5C16" w:rsidP="003B7B81">
            <w:pPr>
              <w:rPr>
                <w:sz w:val="22"/>
                <w:szCs w:val="22"/>
              </w:rPr>
            </w:pPr>
            <w:r w:rsidRPr="00AA5C16">
              <w:rPr>
                <w:sz w:val="22"/>
                <w:szCs w:val="22"/>
              </w:rPr>
              <w:t>2017/18</w:t>
            </w:r>
          </w:p>
        </w:tc>
        <w:tc>
          <w:tcPr>
            <w:tcW w:w="963" w:type="dxa"/>
          </w:tcPr>
          <w:p w14:paraId="697B6E90" w14:textId="77777777" w:rsidR="00AA5C16" w:rsidRPr="00AA5C16" w:rsidRDefault="00AA5C16" w:rsidP="003B7B81">
            <w:pPr>
              <w:rPr>
                <w:sz w:val="22"/>
                <w:szCs w:val="22"/>
              </w:rPr>
            </w:pPr>
            <w:r w:rsidRPr="00AA5C16">
              <w:rPr>
                <w:sz w:val="22"/>
                <w:szCs w:val="22"/>
              </w:rPr>
              <w:t>2018/19</w:t>
            </w:r>
          </w:p>
        </w:tc>
        <w:tc>
          <w:tcPr>
            <w:tcW w:w="963" w:type="dxa"/>
          </w:tcPr>
          <w:p w14:paraId="3F4D7EFA" w14:textId="77777777" w:rsidR="00AA5C16" w:rsidRPr="00AA5C16" w:rsidRDefault="00AA5C16" w:rsidP="003B7B81">
            <w:pPr>
              <w:rPr>
                <w:sz w:val="22"/>
                <w:szCs w:val="22"/>
              </w:rPr>
            </w:pPr>
            <w:r w:rsidRPr="00AA5C16">
              <w:rPr>
                <w:sz w:val="22"/>
                <w:szCs w:val="22"/>
              </w:rPr>
              <w:t>2019/20</w:t>
            </w:r>
          </w:p>
        </w:tc>
        <w:tc>
          <w:tcPr>
            <w:tcW w:w="963" w:type="dxa"/>
          </w:tcPr>
          <w:p w14:paraId="1B0D0F8B" w14:textId="77777777" w:rsidR="00AA5C16" w:rsidRPr="00AA5C16" w:rsidRDefault="00AA5C16" w:rsidP="003B7B81">
            <w:pPr>
              <w:rPr>
                <w:sz w:val="22"/>
                <w:szCs w:val="22"/>
              </w:rPr>
            </w:pPr>
            <w:r w:rsidRPr="00AA5C16">
              <w:rPr>
                <w:sz w:val="22"/>
                <w:szCs w:val="22"/>
              </w:rPr>
              <w:t>2020/21</w:t>
            </w:r>
          </w:p>
        </w:tc>
        <w:tc>
          <w:tcPr>
            <w:tcW w:w="963" w:type="dxa"/>
          </w:tcPr>
          <w:p w14:paraId="5F1A0F5A" w14:textId="77777777" w:rsidR="00AA5C16" w:rsidRPr="00AA5C16" w:rsidRDefault="00AA5C16" w:rsidP="003B7B81">
            <w:pPr>
              <w:rPr>
                <w:sz w:val="22"/>
                <w:szCs w:val="22"/>
              </w:rPr>
            </w:pPr>
            <w:r w:rsidRPr="00AA5C16">
              <w:rPr>
                <w:sz w:val="22"/>
                <w:szCs w:val="22"/>
              </w:rPr>
              <w:t>2012/22</w:t>
            </w:r>
          </w:p>
        </w:tc>
        <w:tc>
          <w:tcPr>
            <w:tcW w:w="963" w:type="dxa"/>
          </w:tcPr>
          <w:p w14:paraId="05CBD0F5" w14:textId="77777777" w:rsidR="00AA5C16" w:rsidRPr="00AA5C16" w:rsidRDefault="00AA5C16" w:rsidP="003B7B81">
            <w:pPr>
              <w:rPr>
                <w:sz w:val="22"/>
                <w:szCs w:val="22"/>
              </w:rPr>
            </w:pPr>
            <w:r w:rsidRPr="00AA5C16">
              <w:rPr>
                <w:sz w:val="22"/>
                <w:szCs w:val="22"/>
              </w:rPr>
              <w:t>2022/23</w:t>
            </w:r>
          </w:p>
        </w:tc>
        <w:tc>
          <w:tcPr>
            <w:tcW w:w="963" w:type="dxa"/>
          </w:tcPr>
          <w:p w14:paraId="771BF1A3" w14:textId="77777777" w:rsidR="00AA5C16" w:rsidRPr="00AA5C16" w:rsidRDefault="00AA5C16" w:rsidP="003B7B81">
            <w:pPr>
              <w:rPr>
                <w:sz w:val="22"/>
                <w:szCs w:val="22"/>
              </w:rPr>
            </w:pPr>
            <w:r w:rsidRPr="00AA5C16">
              <w:rPr>
                <w:sz w:val="22"/>
                <w:szCs w:val="22"/>
              </w:rPr>
              <w:t>2023/24</w:t>
            </w:r>
          </w:p>
        </w:tc>
        <w:tc>
          <w:tcPr>
            <w:tcW w:w="1111" w:type="dxa"/>
          </w:tcPr>
          <w:p w14:paraId="0611E19F" w14:textId="77777777" w:rsidR="00AA5C16" w:rsidRPr="00AA5C16" w:rsidRDefault="00AA5C16" w:rsidP="003B7B81">
            <w:pPr>
              <w:rPr>
                <w:sz w:val="22"/>
                <w:szCs w:val="22"/>
              </w:rPr>
            </w:pPr>
            <w:r w:rsidRPr="00AA5C16">
              <w:rPr>
                <w:sz w:val="22"/>
                <w:szCs w:val="22"/>
              </w:rPr>
              <w:t>2024/25</w:t>
            </w:r>
          </w:p>
        </w:tc>
      </w:tr>
      <w:tr w:rsidR="00AA5C16" w14:paraId="6128C770" w14:textId="77777777" w:rsidTr="003B7B81">
        <w:tc>
          <w:tcPr>
            <w:tcW w:w="962" w:type="dxa"/>
          </w:tcPr>
          <w:p w14:paraId="379D4014" w14:textId="3402B8BC" w:rsidR="00AA5C16" w:rsidRPr="00AA5C16" w:rsidRDefault="003A67C3" w:rsidP="003B7B81">
            <w:pPr>
              <w:rPr>
                <w:sz w:val="22"/>
                <w:szCs w:val="22"/>
              </w:rPr>
            </w:pPr>
            <w:r>
              <w:rPr>
                <w:sz w:val="22"/>
                <w:szCs w:val="22"/>
              </w:rPr>
              <w:t>0</w:t>
            </w:r>
          </w:p>
        </w:tc>
        <w:tc>
          <w:tcPr>
            <w:tcW w:w="962" w:type="dxa"/>
          </w:tcPr>
          <w:p w14:paraId="26B004BA" w14:textId="2DBB4EB4" w:rsidR="00AA5C16" w:rsidRPr="00AA5C16" w:rsidRDefault="003A67C3" w:rsidP="003B7B81">
            <w:pPr>
              <w:rPr>
                <w:sz w:val="22"/>
                <w:szCs w:val="22"/>
              </w:rPr>
            </w:pPr>
            <w:r>
              <w:rPr>
                <w:sz w:val="22"/>
                <w:szCs w:val="22"/>
              </w:rPr>
              <w:t>1</w:t>
            </w:r>
          </w:p>
        </w:tc>
        <w:tc>
          <w:tcPr>
            <w:tcW w:w="963" w:type="dxa"/>
          </w:tcPr>
          <w:p w14:paraId="49B215A8" w14:textId="3FD4042A" w:rsidR="00AA5C16" w:rsidRPr="00AA5C16" w:rsidRDefault="003A67C3" w:rsidP="003B7B81">
            <w:pPr>
              <w:rPr>
                <w:sz w:val="22"/>
                <w:szCs w:val="22"/>
              </w:rPr>
            </w:pPr>
            <w:r>
              <w:rPr>
                <w:sz w:val="22"/>
                <w:szCs w:val="22"/>
              </w:rPr>
              <w:t>3</w:t>
            </w:r>
          </w:p>
        </w:tc>
        <w:tc>
          <w:tcPr>
            <w:tcW w:w="963" w:type="dxa"/>
          </w:tcPr>
          <w:p w14:paraId="4FF5AFD0" w14:textId="684D2CFE" w:rsidR="00AA5C16" w:rsidRPr="00AA5C16" w:rsidRDefault="003A67C3" w:rsidP="003B7B81">
            <w:pPr>
              <w:rPr>
                <w:sz w:val="22"/>
                <w:szCs w:val="22"/>
              </w:rPr>
            </w:pPr>
            <w:r>
              <w:rPr>
                <w:sz w:val="22"/>
                <w:szCs w:val="22"/>
              </w:rPr>
              <w:t>0</w:t>
            </w:r>
          </w:p>
        </w:tc>
        <w:tc>
          <w:tcPr>
            <w:tcW w:w="963" w:type="dxa"/>
          </w:tcPr>
          <w:p w14:paraId="1F6699FA" w14:textId="432535BC" w:rsidR="00AA5C16" w:rsidRPr="00AA5C16" w:rsidRDefault="003A67C3" w:rsidP="003B7B81">
            <w:pPr>
              <w:rPr>
                <w:sz w:val="22"/>
                <w:szCs w:val="22"/>
              </w:rPr>
            </w:pPr>
            <w:r>
              <w:rPr>
                <w:sz w:val="22"/>
                <w:szCs w:val="22"/>
              </w:rPr>
              <w:t>1</w:t>
            </w:r>
          </w:p>
        </w:tc>
        <w:tc>
          <w:tcPr>
            <w:tcW w:w="963" w:type="dxa"/>
          </w:tcPr>
          <w:p w14:paraId="3E2DD660" w14:textId="49E76A63" w:rsidR="00AA5C16" w:rsidRPr="00AA5C16" w:rsidRDefault="003A67C3" w:rsidP="003B7B81">
            <w:pPr>
              <w:rPr>
                <w:sz w:val="22"/>
                <w:szCs w:val="22"/>
              </w:rPr>
            </w:pPr>
            <w:r>
              <w:rPr>
                <w:sz w:val="22"/>
                <w:szCs w:val="22"/>
              </w:rPr>
              <w:t>3</w:t>
            </w:r>
          </w:p>
        </w:tc>
        <w:tc>
          <w:tcPr>
            <w:tcW w:w="963" w:type="dxa"/>
          </w:tcPr>
          <w:p w14:paraId="7F85F072" w14:textId="08BD9FC4" w:rsidR="00AA5C16" w:rsidRPr="00AA5C16" w:rsidRDefault="003A67C3" w:rsidP="003B7B81">
            <w:pPr>
              <w:rPr>
                <w:sz w:val="22"/>
                <w:szCs w:val="22"/>
              </w:rPr>
            </w:pPr>
            <w:r>
              <w:rPr>
                <w:sz w:val="22"/>
                <w:szCs w:val="22"/>
              </w:rPr>
              <w:t>0</w:t>
            </w:r>
          </w:p>
        </w:tc>
        <w:tc>
          <w:tcPr>
            <w:tcW w:w="963" w:type="dxa"/>
          </w:tcPr>
          <w:p w14:paraId="506641DF" w14:textId="35FE3343" w:rsidR="00AA5C16" w:rsidRPr="00AA5C16" w:rsidRDefault="003A67C3" w:rsidP="003B7B81">
            <w:pPr>
              <w:rPr>
                <w:sz w:val="22"/>
                <w:szCs w:val="22"/>
              </w:rPr>
            </w:pPr>
            <w:r>
              <w:rPr>
                <w:sz w:val="22"/>
                <w:szCs w:val="22"/>
              </w:rPr>
              <w:t>0</w:t>
            </w:r>
          </w:p>
        </w:tc>
        <w:tc>
          <w:tcPr>
            <w:tcW w:w="963" w:type="dxa"/>
          </w:tcPr>
          <w:p w14:paraId="7DF9D69C" w14:textId="72BC34EF" w:rsidR="00AA5C16" w:rsidRPr="00AA5C16" w:rsidRDefault="003A67C3" w:rsidP="003B7B81">
            <w:pPr>
              <w:rPr>
                <w:sz w:val="22"/>
                <w:szCs w:val="22"/>
              </w:rPr>
            </w:pPr>
            <w:r>
              <w:rPr>
                <w:sz w:val="22"/>
                <w:szCs w:val="22"/>
              </w:rPr>
              <w:t>2</w:t>
            </w:r>
          </w:p>
        </w:tc>
        <w:tc>
          <w:tcPr>
            <w:tcW w:w="1111" w:type="dxa"/>
          </w:tcPr>
          <w:p w14:paraId="74AB0D43" w14:textId="102391D8" w:rsidR="00AA5C16" w:rsidRPr="00AA5C16" w:rsidRDefault="003A67C3" w:rsidP="003B7B81">
            <w:pPr>
              <w:rPr>
                <w:sz w:val="22"/>
                <w:szCs w:val="22"/>
              </w:rPr>
            </w:pPr>
            <w:r>
              <w:rPr>
                <w:sz w:val="22"/>
                <w:szCs w:val="22"/>
              </w:rPr>
              <w:t>1</w:t>
            </w:r>
          </w:p>
        </w:tc>
      </w:tr>
    </w:tbl>
    <w:p w14:paraId="0EC6DD63" w14:textId="2AC41895" w:rsidR="007A7AF5" w:rsidRPr="007A7AF5" w:rsidRDefault="00936C3A" w:rsidP="009D1C26">
      <w:r w:rsidRPr="007A7AF5">
        <w:t>1.</w:t>
      </w:r>
      <w:r w:rsidR="007A7AF5" w:rsidRPr="007A7AF5">
        <w:t xml:space="preserve"> Data is based on the Regulation 10 preliminary assessment date. </w:t>
      </w:r>
    </w:p>
    <w:p w14:paraId="7E27E039" w14:textId="7092B58F" w:rsidR="007A7AF5" w:rsidRPr="007A7AF5" w:rsidRDefault="00936C3A" w:rsidP="009D1C26">
      <w:r w:rsidRPr="007A7AF5">
        <w:t>2.</w:t>
      </w:r>
      <w:r w:rsidR="007A7AF5" w:rsidRPr="007A7AF5">
        <w:t xml:space="preserve"> Data for 2015/16 covers the period of 01/02/2016 – 31/03/2016 inclusive. </w:t>
      </w:r>
    </w:p>
    <w:p w14:paraId="4C3D7AB1" w14:textId="4CA92BBB" w:rsidR="007A7AF5" w:rsidRDefault="00936C3A" w:rsidP="009D1C26">
      <w:r w:rsidRPr="007A7AF5">
        <w:t>3.</w:t>
      </w:r>
      <w:r w:rsidR="007A7AF5" w:rsidRPr="007A7AF5">
        <w:t xml:space="preserve"> Data for 2024/25 covers the period of 01/04/2024 – 16/12/2024 inclusive. </w:t>
      </w:r>
    </w:p>
    <w:p w14:paraId="50277A50" w14:textId="77777777" w:rsidR="00A81D8F" w:rsidRDefault="00A81D8F" w:rsidP="009D1C26"/>
    <w:p w14:paraId="6D98BEBA" w14:textId="77777777" w:rsidR="007A7AF5" w:rsidRPr="007A7AF5" w:rsidRDefault="007A7AF5" w:rsidP="007A7AF5">
      <w:pPr>
        <w:pStyle w:val="Heading2"/>
      </w:pPr>
      <w:r w:rsidRPr="007A7AF5">
        <w:t>3. For the same timeframe, please break down the disposals for all officers who have been subject of a misconduct assessment for solely data protection?</w:t>
      </w:r>
    </w:p>
    <w:p w14:paraId="15774C3E" w14:textId="5979A6DF" w:rsidR="009D1C26" w:rsidRPr="009D1C26" w:rsidRDefault="009D1C26" w:rsidP="009D1C26">
      <w:r w:rsidRPr="009D1C26">
        <w:t xml:space="preserve">Figures provided in the table below detail the number of allegations involving a data protection circumstance, </w:t>
      </w:r>
      <w:r w:rsidR="00F50834">
        <w:t xml:space="preserve">categorised </w:t>
      </w:r>
      <w:r w:rsidRPr="009D1C26">
        <w:t xml:space="preserve">by allegation disposal having been subject to a Regulation 10 preliminary assessment. As above, </w:t>
      </w:r>
      <w:r w:rsidR="00B918C4">
        <w:t xml:space="preserve">only </w:t>
      </w:r>
      <w:r w:rsidRPr="009D1C26">
        <w:t xml:space="preserve">cases which </w:t>
      </w:r>
      <w:r w:rsidR="00F50834">
        <w:t>solely i</w:t>
      </w:r>
      <w:r w:rsidRPr="009D1C26">
        <w:t xml:space="preserve">nvolve </w:t>
      </w:r>
      <w:r w:rsidRPr="009D1C26">
        <w:lastRenderedPageBreak/>
        <w:t>allegations with a data protection circumstance have been included in the data we have provided.</w:t>
      </w:r>
    </w:p>
    <w:p w14:paraId="5905F257" w14:textId="4277178D" w:rsidR="009D1C26" w:rsidRPr="009D1C26" w:rsidRDefault="009D1C26" w:rsidP="009D1C26">
      <w:r w:rsidRPr="009D1C26">
        <w:t>This data is based on the Regulation 10 preliminary assessment date</w:t>
      </w:r>
      <w:r w:rsidR="00F50834">
        <w:t>.</w:t>
      </w:r>
      <w:r w:rsidRPr="009D1C26">
        <w:t xml:space="preserve"> </w:t>
      </w:r>
    </w:p>
    <w:p w14:paraId="25F638C6" w14:textId="6AF046EC" w:rsidR="009D1C26" w:rsidRPr="009D1C26" w:rsidRDefault="009D1C26" w:rsidP="009D1C26">
      <w:r w:rsidRPr="009D1C26">
        <w:t xml:space="preserve">Please note allegations which have been assessed at the Regulation 10 date may remain subject to live enquiry as part of the misconduct process and therefore may not yet be concluded. </w:t>
      </w:r>
      <w:r w:rsidR="00631119">
        <w:t xml:space="preserve"> </w:t>
      </w:r>
      <w:r w:rsidRPr="009D1C26">
        <w:t xml:space="preserve">Allegation disposals are only resulted at the conclusion of a case. </w:t>
      </w:r>
    </w:p>
    <w:p w14:paraId="232D8C78" w14:textId="75607D4C" w:rsidR="009D1C26" w:rsidRPr="009D1C26" w:rsidRDefault="009D1C26" w:rsidP="009D1C26">
      <w:r w:rsidRPr="009D1C26">
        <w:t xml:space="preserve">Please also note each case subject to a Regulation 10 preliminary assessment may involve multiple allegations, therefore the number of allegations may vary from the number of preliminary assessments. </w:t>
      </w:r>
    </w:p>
    <w:p w14:paraId="3A7B531A" w14:textId="327D8531" w:rsidR="009D1C26" w:rsidRPr="009D1C26" w:rsidRDefault="009D1C26" w:rsidP="009D1C26">
      <w:pPr>
        <w:rPr>
          <w:i/>
          <w:iCs/>
        </w:rPr>
      </w:pPr>
      <w:r w:rsidRPr="009D1C26">
        <w:rPr>
          <w:i/>
          <w:iCs/>
        </w:rPr>
        <w:t>Table</w:t>
      </w:r>
      <w:r w:rsidR="003A67C3">
        <w:rPr>
          <w:i/>
          <w:iCs/>
        </w:rPr>
        <w:t xml:space="preserve"> 3</w:t>
      </w:r>
      <w:r w:rsidRPr="009D1C26">
        <w:rPr>
          <w:i/>
          <w:iCs/>
        </w:rPr>
        <w:t xml:space="preserve">: </w:t>
      </w:r>
      <w:r w:rsidR="00A81D8F">
        <w:rPr>
          <w:i/>
          <w:iCs/>
        </w:rPr>
        <w:t>Number of a</w:t>
      </w:r>
      <w:r w:rsidRPr="009D1C26">
        <w:rPr>
          <w:i/>
          <w:iCs/>
        </w:rPr>
        <w:t xml:space="preserve">llegations attached to Regulation 10 preliminary assessments for cases involving only data protection allegations, by allegation disposal and financial year </w:t>
      </w:r>
      <w:r w:rsidRPr="009D1C26">
        <w:rPr>
          <w:i/>
          <w:iCs/>
          <w:vertAlign w:val="superscript"/>
        </w:rPr>
        <w:t>1 2 3</w:t>
      </w:r>
    </w:p>
    <w:tbl>
      <w:tblPr>
        <w:tblW w:w="0" w:type="auto"/>
        <w:tblCellMar>
          <w:left w:w="0" w:type="dxa"/>
          <w:right w:w="0" w:type="dxa"/>
        </w:tblCellMar>
        <w:tblLook w:val="04A0" w:firstRow="1" w:lastRow="0" w:firstColumn="1" w:lastColumn="0" w:noHBand="0" w:noVBand="1"/>
      </w:tblPr>
      <w:tblGrid>
        <w:gridCol w:w="1428"/>
        <w:gridCol w:w="819"/>
        <w:gridCol w:w="819"/>
        <w:gridCol w:w="819"/>
        <w:gridCol w:w="819"/>
        <w:gridCol w:w="819"/>
        <w:gridCol w:w="819"/>
        <w:gridCol w:w="819"/>
        <w:gridCol w:w="819"/>
        <w:gridCol w:w="819"/>
        <w:gridCol w:w="819"/>
      </w:tblGrid>
      <w:tr w:rsidR="003A67C3" w:rsidRPr="009D1C26" w14:paraId="2789567D" w14:textId="77777777" w:rsidTr="00CF7AD6">
        <w:trPr>
          <w:cantSplit/>
          <w:trHeight w:val="1134"/>
        </w:trPr>
        <w:tc>
          <w:tcPr>
            <w:tcW w:w="183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50CA8E61" w14:textId="2C9300C4" w:rsidR="003A67C3" w:rsidRPr="003A67C3" w:rsidRDefault="003A67C3" w:rsidP="003A67C3">
            <w:pPr>
              <w:rPr>
                <w:b/>
              </w:rPr>
            </w:pPr>
          </w:p>
        </w:tc>
        <w:tc>
          <w:tcPr>
            <w:tcW w:w="252"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05C50BAA" w14:textId="06E13FAE" w:rsidR="003A67C3" w:rsidRPr="003A67C3" w:rsidRDefault="003A67C3" w:rsidP="003A67C3">
            <w:pPr>
              <w:ind w:left="113" w:right="113"/>
              <w:jc w:val="center"/>
              <w:rPr>
                <w:bCs/>
                <w:sz w:val="16"/>
                <w:szCs w:val="16"/>
              </w:rPr>
            </w:pPr>
            <w:r w:rsidRPr="003A67C3">
              <w:rPr>
                <w:sz w:val="16"/>
                <w:szCs w:val="16"/>
              </w:rPr>
              <w:t>2015/16</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735D25DD" w14:textId="6E09EA94" w:rsidR="003A67C3" w:rsidRPr="003A67C3" w:rsidRDefault="003A67C3" w:rsidP="003A67C3">
            <w:pPr>
              <w:ind w:left="113" w:right="113"/>
              <w:jc w:val="center"/>
              <w:rPr>
                <w:bCs/>
                <w:sz w:val="16"/>
                <w:szCs w:val="16"/>
              </w:rPr>
            </w:pPr>
            <w:r w:rsidRPr="003A67C3">
              <w:rPr>
                <w:sz w:val="16"/>
                <w:szCs w:val="16"/>
              </w:rPr>
              <w:t>2016/17</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7827676" w14:textId="7D2F2F0B" w:rsidR="003A67C3" w:rsidRPr="003A67C3" w:rsidRDefault="003A67C3" w:rsidP="003A67C3">
            <w:pPr>
              <w:ind w:left="113" w:right="113"/>
              <w:jc w:val="center"/>
              <w:rPr>
                <w:bCs/>
                <w:sz w:val="16"/>
                <w:szCs w:val="16"/>
              </w:rPr>
            </w:pPr>
            <w:r w:rsidRPr="003A67C3">
              <w:rPr>
                <w:sz w:val="16"/>
                <w:szCs w:val="16"/>
              </w:rPr>
              <w:t>2017/18</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3076B5A" w14:textId="49AD6F2C" w:rsidR="003A67C3" w:rsidRPr="003A67C3" w:rsidRDefault="003A67C3" w:rsidP="003A67C3">
            <w:pPr>
              <w:ind w:left="113" w:right="113"/>
              <w:jc w:val="center"/>
              <w:rPr>
                <w:bCs/>
                <w:sz w:val="16"/>
                <w:szCs w:val="16"/>
              </w:rPr>
            </w:pPr>
            <w:r w:rsidRPr="003A67C3">
              <w:rPr>
                <w:sz w:val="16"/>
                <w:szCs w:val="16"/>
              </w:rPr>
              <w:t>2018/19</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0EAE3769" w14:textId="09BFBD37" w:rsidR="003A67C3" w:rsidRPr="003A67C3" w:rsidRDefault="003A67C3" w:rsidP="003A67C3">
            <w:pPr>
              <w:ind w:left="113" w:right="113"/>
              <w:jc w:val="center"/>
              <w:rPr>
                <w:bCs/>
                <w:sz w:val="16"/>
                <w:szCs w:val="16"/>
              </w:rPr>
            </w:pPr>
            <w:r w:rsidRPr="003A67C3">
              <w:rPr>
                <w:sz w:val="16"/>
                <w:szCs w:val="16"/>
              </w:rPr>
              <w:t>2019/20</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4C907735" w14:textId="470A26E0" w:rsidR="003A67C3" w:rsidRPr="003A67C3" w:rsidRDefault="003A67C3" w:rsidP="003A67C3">
            <w:pPr>
              <w:ind w:left="113" w:right="113"/>
              <w:jc w:val="center"/>
              <w:rPr>
                <w:bCs/>
                <w:sz w:val="16"/>
                <w:szCs w:val="16"/>
              </w:rPr>
            </w:pPr>
            <w:r w:rsidRPr="003A67C3">
              <w:rPr>
                <w:sz w:val="16"/>
                <w:szCs w:val="16"/>
              </w:rPr>
              <w:t>2020/21</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5D3A11B5" w14:textId="7B758032" w:rsidR="003A67C3" w:rsidRPr="003A67C3" w:rsidRDefault="003A67C3" w:rsidP="003A67C3">
            <w:pPr>
              <w:ind w:left="113" w:right="113"/>
              <w:jc w:val="center"/>
              <w:rPr>
                <w:bCs/>
                <w:sz w:val="16"/>
                <w:szCs w:val="16"/>
              </w:rPr>
            </w:pPr>
            <w:r w:rsidRPr="003A67C3">
              <w:rPr>
                <w:sz w:val="16"/>
                <w:szCs w:val="16"/>
              </w:rPr>
              <w:t>2012/22</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17C62459" w14:textId="2A44766F" w:rsidR="003A67C3" w:rsidRPr="003A67C3" w:rsidRDefault="003A67C3" w:rsidP="003A67C3">
            <w:pPr>
              <w:ind w:left="113" w:right="113"/>
              <w:jc w:val="center"/>
              <w:rPr>
                <w:bCs/>
                <w:sz w:val="16"/>
                <w:szCs w:val="16"/>
              </w:rPr>
            </w:pPr>
            <w:r w:rsidRPr="003A67C3">
              <w:rPr>
                <w:sz w:val="16"/>
                <w:szCs w:val="16"/>
              </w:rPr>
              <w:t>2022/23</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276D2AC6" w14:textId="15CE5FF2" w:rsidR="003A67C3" w:rsidRPr="003A67C3" w:rsidRDefault="003A67C3" w:rsidP="003A67C3">
            <w:pPr>
              <w:ind w:left="113" w:right="113"/>
              <w:jc w:val="center"/>
              <w:rPr>
                <w:bCs/>
                <w:sz w:val="16"/>
                <w:szCs w:val="16"/>
              </w:rPr>
            </w:pPr>
            <w:r w:rsidRPr="003A67C3">
              <w:rPr>
                <w:sz w:val="16"/>
                <w:szCs w:val="16"/>
              </w:rPr>
              <w:t>2023/24</w:t>
            </w:r>
          </w:p>
        </w:tc>
        <w:tc>
          <w:tcPr>
            <w:tcW w:w="837" w:type="dxa"/>
            <w:tcBorders>
              <w:top w:val="single" w:sz="8" w:space="0" w:color="auto"/>
              <w:left w:val="nil"/>
              <w:bottom w:val="single" w:sz="8" w:space="0" w:color="auto"/>
              <w:right w:val="single" w:sz="8" w:space="0" w:color="auto"/>
            </w:tcBorders>
            <w:noWrap/>
            <w:tcMar>
              <w:top w:w="0" w:type="dxa"/>
              <w:left w:w="108" w:type="dxa"/>
              <w:bottom w:w="0" w:type="dxa"/>
              <w:right w:w="108" w:type="dxa"/>
            </w:tcMar>
          </w:tcPr>
          <w:p w14:paraId="220EA980" w14:textId="20C31193" w:rsidR="003A67C3" w:rsidRPr="003A67C3" w:rsidRDefault="003A67C3" w:rsidP="003A67C3">
            <w:pPr>
              <w:ind w:left="113" w:right="113"/>
              <w:jc w:val="center"/>
              <w:rPr>
                <w:bCs/>
                <w:sz w:val="16"/>
                <w:szCs w:val="16"/>
              </w:rPr>
            </w:pPr>
            <w:r w:rsidRPr="003A67C3">
              <w:rPr>
                <w:sz w:val="16"/>
                <w:szCs w:val="16"/>
              </w:rPr>
              <w:t>2024/25</w:t>
            </w:r>
          </w:p>
        </w:tc>
      </w:tr>
      <w:tr w:rsidR="003A67C3" w:rsidRPr="009D1C26" w14:paraId="7091DE0D"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AC7BBB8" w14:textId="77777777" w:rsidR="009D1C26" w:rsidRPr="003A67C3" w:rsidRDefault="009D1C26" w:rsidP="009D1C26">
            <w:pPr>
              <w:rPr>
                <w:sz w:val="18"/>
                <w:szCs w:val="18"/>
              </w:rPr>
            </w:pPr>
            <w:r w:rsidRPr="003A67C3">
              <w:rPr>
                <w:sz w:val="18"/>
                <w:szCs w:val="18"/>
              </w:rPr>
              <w:t>Hearing - Verbal Warning</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3B797888"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E11C87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B43FC2E"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A2E5C16"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F8F76A2"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DC6F8F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54B27CD"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F42C327"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F45ADA5"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F238428" w14:textId="77777777" w:rsidR="009D1C26" w:rsidRPr="003A67C3" w:rsidRDefault="009D1C26" w:rsidP="003A67C3">
            <w:pPr>
              <w:jc w:val="center"/>
            </w:pPr>
            <w:r w:rsidRPr="003A67C3">
              <w:t>0</w:t>
            </w:r>
          </w:p>
        </w:tc>
      </w:tr>
      <w:tr w:rsidR="003A67C3" w:rsidRPr="009D1C26" w14:paraId="48C13E33"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7008BAA" w14:textId="77777777" w:rsidR="009D1C26" w:rsidRPr="003A67C3" w:rsidRDefault="009D1C26" w:rsidP="009D1C26">
            <w:pPr>
              <w:rPr>
                <w:sz w:val="18"/>
                <w:szCs w:val="18"/>
              </w:rPr>
            </w:pPr>
            <w:r w:rsidRPr="003A67C3">
              <w:rPr>
                <w:sz w:val="18"/>
                <w:szCs w:val="18"/>
              </w:rPr>
              <w:t>Hearing - No Action</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5AFAC4C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15D210C"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CC9C01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2DC3B47"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5DB00B7"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DB731F1"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803ACA3"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002CB00"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632740E"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89AE147" w14:textId="77777777" w:rsidR="009D1C26" w:rsidRPr="003A67C3" w:rsidRDefault="009D1C26" w:rsidP="003A67C3">
            <w:pPr>
              <w:jc w:val="center"/>
            </w:pPr>
            <w:r w:rsidRPr="003A67C3">
              <w:t>0</w:t>
            </w:r>
          </w:p>
        </w:tc>
      </w:tr>
      <w:tr w:rsidR="003A67C3" w:rsidRPr="009D1C26" w14:paraId="254B61B4"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87C105B" w14:textId="77777777" w:rsidR="009D1C26" w:rsidRPr="003A67C3" w:rsidRDefault="009D1C26" w:rsidP="009D1C26">
            <w:pPr>
              <w:rPr>
                <w:sz w:val="18"/>
                <w:szCs w:val="18"/>
              </w:rPr>
            </w:pPr>
            <w:r w:rsidRPr="003A67C3">
              <w:rPr>
                <w:sz w:val="18"/>
                <w:szCs w:val="18"/>
              </w:rPr>
              <w:t>Meeting - Written Warning</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0A8C4722"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2918F2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52EE1E0" w14:textId="77777777" w:rsidR="009D1C26" w:rsidRPr="003A67C3" w:rsidRDefault="009D1C26" w:rsidP="003A67C3">
            <w:pPr>
              <w:jc w:val="center"/>
            </w:pPr>
            <w:r w:rsidRPr="003A67C3">
              <w:t>18</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29C4C7A"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12ED90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D49EE24"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8419ED0"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8767332"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32E12A4"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98DF061" w14:textId="77777777" w:rsidR="009D1C26" w:rsidRPr="003A67C3" w:rsidRDefault="009D1C26" w:rsidP="003A67C3">
            <w:pPr>
              <w:jc w:val="center"/>
            </w:pPr>
            <w:r w:rsidRPr="003A67C3">
              <w:t>0</w:t>
            </w:r>
          </w:p>
        </w:tc>
      </w:tr>
      <w:tr w:rsidR="003A67C3" w:rsidRPr="009D1C26" w14:paraId="799C9E49"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7EFED29" w14:textId="77777777" w:rsidR="009D1C26" w:rsidRPr="003A67C3" w:rsidRDefault="009D1C26" w:rsidP="009D1C26">
            <w:pPr>
              <w:rPr>
                <w:sz w:val="18"/>
                <w:szCs w:val="18"/>
              </w:rPr>
            </w:pPr>
            <w:r w:rsidRPr="003A67C3">
              <w:rPr>
                <w:sz w:val="18"/>
                <w:szCs w:val="18"/>
              </w:rPr>
              <w:t>Meeting - Improvement Action</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2A6A35A2"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798455E"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7AA05DC" w14:textId="77777777" w:rsidR="009D1C26" w:rsidRPr="003A67C3" w:rsidRDefault="009D1C26" w:rsidP="003A67C3">
            <w:pPr>
              <w:jc w:val="center"/>
            </w:pPr>
            <w:r w:rsidRPr="003A67C3">
              <w:t>9</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0AF932E"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AADFF6A"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02C45B9"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D7B973B"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965A826"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BF07B12"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3AE1D08" w14:textId="77777777" w:rsidR="009D1C26" w:rsidRPr="003A67C3" w:rsidRDefault="009D1C26" w:rsidP="003A67C3">
            <w:pPr>
              <w:jc w:val="center"/>
            </w:pPr>
            <w:r w:rsidRPr="003A67C3">
              <w:t>0</w:t>
            </w:r>
          </w:p>
        </w:tc>
      </w:tr>
      <w:tr w:rsidR="003A67C3" w:rsidRPr="009D1C26" w14:paraId="66CFAF25"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714365" w14:textId="77777777" w:rsidR="009D1C26" w:rsidRPr="003A67C3" w:rsidRDefault="009D1C26" w:rsidP="009D1C26">
            <w:pPr>
              <w:rPr>
                <w:sz w:val="18"/>
                <w:szCs w:val="18"/>
              </w:rPr>
            </w:pPr>
            <w:r w:rsidRPr="003A67C3">
              <w:rPr>
                <w:sz w:val="18"/>
                <w:szCs w:val="18"/>
              </w:rPr>
              <w:t>Meeting - No Action</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7C332A51"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1EB6135"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DFD0ACA"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F93CDBB"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44883C8"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CF46B71"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7CABB72"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785E5C0"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6CBA85B"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E0667FA" w14:textId="77777777" w:rsidR="009D1C26" w:rsidRPr="003A67C3" w:rsidRDefault="009D1C26" w:rsidP="003A67C3">
            <w:pPr>
              <w:jc w:val="center"/>
            </w:pPr>
            <w:r w:rsidRPr="003A67C3">
              <w:t>0</w:t>
            </w:r>
          </w:p>
        </w:tc>
      </w:tr>
      <w:tr w:rsidR="003A67C3" w:rsidRPr="009D1C26" w14:paraId="6CADFF84"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487F09AA" w14:textId="77777777" w:rsidR="009D1C26" w:rsidRPr="003A67C3" w:rsidRDefault="009D1C26" w:rsidP="009D1C26">
            <w:pPr>
              <w:rPr>
                <w:sz w:val="18"/>
                <w:szCs w:val="18"/>
              </w:rPr>
            </w:pPr>
            <w:r w:rsidRPr="003A67C3">
              <w:rPr>
                <w:sz w:val="18"/>
                <w:szCs w:val="18"/>
              </w:rPr>
              <w:t>Management Action</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4CA295D3" w14:textId="77777777" w:rsidR="009D1C26" w:rsidRPr="003A67C3" w:rsidRDefault="009D1C26" w:rsidP="003A67C3">
            <w:pPr>
              <w:jc w:val="center"/>
            </w:pPr>
            <w:r w:rsidRPr="003A67C3">
              <w:t>6</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45A9C0B" w14:textId="77777777" w:rsidR="009D1C26" w:rsidRPr="003A67C3" w:rsidRDefault="009D1C26" w:rsidP="003A67C3">
            <w:pPr>
              <w:jc w:val="center"/>
            </w:pPr>
            <w:r w:rsidRPr="003A67C3">
              <w:t>8</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321040C" w14:textId="77777777" w:rsidR="009D1C26" w:rsidRPr="003A67C3" w:rsidRDefault="009D1C26" w:rsidP="003A67C3">
            <w:pPr>
              <w:jc w:val="center"/>
            </w:pPr>
            <w:r w:rsidRPr="003A67C3">
              <w:t>17</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4A52716" w14:textId="77777777" w:rsidR="009D1C26" w:rsidRPr="003A67C3" w:rsidRDefault="009D1C26" w:rsidP="003A67C3">
            <w:pPr>
              <w:jc w:val="center"/>
            </w:pPr>
            <w:r w:rsidRPr="003A67C3">
              <w:t>18</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ED95207" w14:textId="77777777" w:rsidR="009D1C26" w:rsidRPr="003A67C3" w:rsidRDefault="009D1C26" w:rsidP="003A67C3">
            <w:pPr>
              <w:jc w:val="center"/>
            </w:pPr>
            <w:r w:rsidRPr="003A67C3">
              <w:t>14</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22CCAFB" w14:textId="77777777" w:rsidR="009D1C26" w:rsidRPr="003A67C3" w:rsidRDefault="009D1C26" w:rsidP="003A67C3">
            <w:pPr>
              <w:jc w:val="center"/>
            </w:pPr>
            <w:r w:rsidRPr="003A67C3">
              <w:t>35</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B73E35E" w14:textId="77777777" w:rsidR="009D1C26" w:rsidRPr="003A67C3" w:rsidRDefault="009D1C26" w:rsidP="003A67C3">
            <w:pPr>
              <w:jc w:val="center"/>
            </w:pPr>
            <w:r w:rsidRPr="003A67C3">
              <w:t>23</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7E63B01" w14:textId="77777777" w:rsidR="009D1C26" w:rsidRPr="003A67C3" w:rsidRDefault="009D1C26" w:rsidP="003A67C3">
            <w:pPr>
              <w:jc w:val="center"/>
            </w:pPr>
            <w:r w:rsidRPr="003A67C3">
              <w:t>4</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672757F" w14:textId="77777777" w:rsidR="009D1C26" w:rsidRPr="003A67C3" w:rsidRDefault="009D1C26" w:rsidP="003A67C3">
            <w:pPr>
              <w:jc w:val="center"/>
            </w:pPr>
            <w:r w:rsidRPr="003A67C3">
              <w:t>19</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01264B3" w14:textId="77777777" w:rsidR="009D1C26" w:rsidRPr="003A67C3" w:rsidRDefault="009D1C26" w:rsidP="003A67C3">
            <w:pPr>
              <w:jc w:val="center"/>
            </w:pPr>
            <w:r w:rsidRPr="003A67C3">
              <w:t>11</w:t>
            </w:r>
          </w:p>
        </w:tc>
      </w:tr>
      <w:tr w:rsidR="003A67C3" w:rsidRPr="009D1C26" w14:paraId="41C492C4"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A3058A5" w14:textId="77777777" w:rsidR="009D1C26" w:rsidRPr="003A67C3" w:rsidRDefault="009D1C26" w:rsidP="009D1C26">
            <w:pPr>
              <w:rPr>
                <w:sz w:val="18"/>
                <w:szCs w:val="18"/>
              </w:rPr>
            </w:pPr>
            <w:r w:rsidRPr="00CF7AD6">
              <w:rPr>
                <w:sz w:val="18"/>
                <w:szCs w:val="18"/>
              </w:rPr>
              <w:t>Performance Regulations</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5BC5AF2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9DD0C49"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02D314C" w14:textId="77777777" w:rsidR="009D1C26" w:rsidRPr="003A67C3" w:rsidRDefault="009D1C26" w:rsidP="003A67C3">
            <w:pPr>
              <w:jc w:val="center"/>
            </w:pPr>
            <w:r w:rsidRPr="003A67C3">
              <w:t>6</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0C91637"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D65FB2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C609901"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0DA77AF"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82E308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F081DC9"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56B55BA" w14:textId="77777777" w:rsidR="009D1C26" w:rsidRPr="003A67C3" w:rsidRDefault="009D1C26" w:rsidP="003A67C3">
            <w:pPr>
              <w:jc w:val="center"/>
            </w:pPr>
            <w:r w:rsidRPr="003A67C3">
              <w:t>0</w:t>
            </w:r>
          </w:p>
        </w:tc>
      </w:tr>
      <w:tr w:rsidR="003A67C3" w:rsidRPr="009D1C26" w14:paraId="36E4EFBC"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3F4D02" w14:textId="77777777" w:rsidR="009D1C26" w:rsidRPr="003A67C3" w:rsidRDefault="009D1C26" w:rsidP="009D1C26">
            <w:pPr>
              <w:rPr>
                <w:sz w:val="18"/>
                <w:szCs w:val="18"/>
              </w:rPr>
            </w:pPr>
            <w:r w:rsidRPr="003A67C3">
              <w:rPr>
                <w:sz w:val="18"/>
                <w:szCs w:val="18"/>
              </w:rPr>
              <w:lastRenderedPageBreak/>
              <w:t>No Action</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707A1D77"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7C952F9" w14:textId="77777777" w:rsidR="009D1C26" w:rsidRPr="003A67C3" w:rsidRDefault="009D1C26" w:rsidP="003A67C3">
            <w:pPr>
              <w:jc w:val="center"/>
            </w:pPr>
            <w:r w:rsidRPr="003A67C3">
              <w:t>2</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180CDEF"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5691B7E" w14:textId="77777777" w:rsidR="009D1C26" w:rsidRPr="003A67C3" w:rsidRDefault="009D1C26" w:rsidP="003A67C3">
            <w:pPr>
              <w:jc w:val="center"/>
            </w:pPr>
            <w:r w:rsidRPr="003A67C3">
              <w:t>2</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C50B088"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E90F945" w14:textId="77777777" w:rsidR="009D1C26" w:rsidRPr="003A67C3" w:rsidRDefault="009D1C26" w:rsidP="003A67C3">
            <w:pPr>
              <w:jc w:val="center"/>
            </w:pPr>
            <w:r w:rsidRPr="003A67C3">
              <w:t>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AB797D1" w14:textId="77777777" w:rsidR="009D1C26" w:rsidRPr="003A67C3" w:rsidRDefault="009D1C26" w:rsidP="003A67C3">
            <w:pPr>
              <w:jc w:val="center"/>
            </w:pPr>
            <w:r w:rsidRPr="003A67C3">
              <w:t>5</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0481F45" w14:textId="77777777" w:rsidR="009D1C26" w:rsidRPr="003A67C3" w:rsidRDefault="009D1C26" w:rsidP="003A67C3">
            <w:pPr>
              <w:jc w:val="center"/>
            </w:pPr>
            <w:r w:rsidRPr="003A67C3">
              <w:t>2</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9E45497" w14:textId="77777777" w:rsidR="009D1C26" w:rsidRPr="003A67C3" w:rsidRDefault="009D1C26" w:rsidP="003A67C3">
            <w:pPr>
              <w:jc w:val="center"/>
            </w:pPr>
            <w:r w:rsidRPr="003A67C3">
              <w:t>4</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78DD304" w14:textId="77777777" w:rsidR="009D1C26" w:rsidRPr="003A67C3" w:rsidRDefault="009D1C26" w:rsidP="003A67C3">
            <w:pPr>
              <w:jc w:val="center"/>
            </w:pPr>
            <w:r w:rsidRPr="003A67C3">
              <w:t>0</w:t>
            </w:r>
          </w:p>
        </w:tc>
      </w:tr>
      <w:tr w:rsidR="003A67C3" w:rsidRPr="009D1C26" w14:paraId="5C28AD0E"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4BF466A" w14:textId="77777777" w:rsidR="003A67C3" w:rsidRPr="003A67C3" w:rsidRDefault="009D1C26" w:rsidP="009D1C26">
            <w:pPr>
              <w:rPr>
                <w:sz w:val="18"/>
                <w:szCs w:val="18"/>
              </w:rPr>
            </w:pPr>
            <w:r w:rsidRPr="003A67C3">
              <w:rPr>
                <w:sz w:val="18"/>
                <w:szCs w:val="18"/>
              </w:rPr>
              <w:t>Retired/</w:t>
            </w:r>
          </w:p>
          <w:p w14:paraId="07CDCA61" w14:textId="5623C166" w:rsidR="009D1C26" w:rsidRPr="003A67C3" w:rsidRDefault="009D1C26" w:rsidP="009D1C26">
            <w:pPr>
              <w:rPr>
                <w:sz w:val="18"/>
                <w:szCs w:val="18"/>
              </w:rPr>
            </w:pPr>
            <w:r w:rsidRPr="003A67C3">
              <w:rPr>
                <w:sz w:val="18"/>
                <w:szCs w:val="18"/>
              </w:rPr>
              <w:t>Resigned</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7CD99EDC"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3B063E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0F51956"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5D9ED9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47C31D8" w14:textId="77777777" w:rsidR="009D1C26" w:rsidRPr="003A67C3" w:rsidRDefault="009D1C26" w:rsidP="003A67C3">
            <w:pPr>
              <w:jc w:val="center"/>
            </w:pPr>
            <w:r w:rsidRPr="003A67C3">
              <w:t>7</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B90CE3D"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D44B86C"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0640545"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82AC943"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C77D4BA" w14:textId="77777777" w:rsidR="009D1C26" w:rsidRPr="003A67C3" w:rsidRDefault="009D1C26" w:rsidP="003A67C3">
            <w:pPr>
              <w:jc w:val="center"/>
            </w:pPr>
            <w:r w:rsidRPr="003A67C3">
              <w:t>0</w:t>
            </w:r>
          </w:p>
        </w:tc>
      </w:tr>
      <w:tr w:rsidR="003A67C3" w:rsidRPr="009D1C26" w14:paraId="1889BDB2"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F83DB10" w14:textId="77777777" w:rsidR="009D1C26" w:rsidRPr="003A67C3" w:rsidRDefault="009D1C26" w:rsidP="009D1C26">
            <w:pPr>
              <w:rPr>
                <w:sz w:val="18"/>
                <w:szCs w:val="18"/>
              </w:rPr>
            </w:pPr>
            <w:r w:rsidRPr="003A67C3">
              <w:rPr>
                <w:sz w:val="18"/>
                <w:szCs w:val="18"/>
              </w:rPr>
              <w:t>Ongoing - allegation not yet concluded</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2077BAA6"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C4030D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59FA830"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90416B9"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CE89684"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1E32197"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18C7D50"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45B04FA3"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17EBF76F" w14:textId="77777777" w:rsidR="009D1C26" w:rsidRPr="003A67C3" w:rsidRDefault="009D1C26" w:rsidP="003A67C3">
            <w:pPr>
              <w:jc w:val="center"/>
            </w:pPr>
            <w:r w:rsidRPr="003A67C3">
              <w:t>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2802149" w14:textId="77777777" w:rsidR="009D1C26" w:rsidRPr="003A67C3" w:rsidRDefault="009D1C26" w:rsidP="003A67C3">
            <w:pPr>
              <w:jc w:val="center"/>
            </w:pPr>
            <w:r w:rsidRPr="003A67C3">
              <w:t>9</w:t>
            </w:r>
          </w:p>
        </w:tc>
      </w:tr>
      <w:tr w:rsidR="003A67C3" w:rsidRPr="009D1C26" w14:paraId="4273FB4C" w14:textId="77777777" w:rsidTr="00CF7AD6">
        <w:trPr>
          <w:trHeight w:val="331"/>
        </w:trPr>
        <w:tc>
          <w:tcPr>
            <w:tcW w:w="1833"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73F16C6" w14:textId="77777777" w:rsidR="009D1C26" w:rsidRPr="009D1C26" w:rsidRDefault="009D1C26" w:rsidP="009D1C26">
            <w:pPr>
              <w:rPr>
                <w:bCs/>
              </w:rPr>
            </w:pPr>
            <w:r w:rsidRPr="009D1C26">
              <w:rPr>
                <w:bCs/>
              </w:rPr>
              <w:t>Total</w:t>
            </w:r>
          </w:p>
        </w:tc>
        <w:tc>
          <w:tcPr>
            <w:tcW w:w="252" w:type="dxa"/>
            <w:tcBorders>
              <w:top w:val="nil"/>
              <w:left w:val="nil"/>
              <w:bottom w:val="single" w:sz="8" w:space="0" w:color="auto"/>
              <w:right w:val="single" w:sz="8" w:space="0" w:color="auto"/>
            </w:tcBorders>
            <w:noWrap/>
            <w:tcMar>
              <w:top w:w="0" w:type="dxa"/>
              <w:left w:w="108" w:type="dxa"/>
              <w:bottom w:w="0" w:type="dxa"/>
              <w:right w:w="108" w:type="dxa"/>
            </w:tcMar>
            <w:hideMark/>
          </w:tcPr>
          <w:p w14:paraId="4A59A436" w14:textId="77777777" w:rsidR="009D1C26" w:rsidRPr="003A67C3" w:rsidRDefault="009D1C26" w:rsidP="003A67C3">
            <w:pPr>
              <w:jc w:val="center"/>
              <w:rPr>
                <w:bCs/>
              </w:rPr>
            </w:pPr>
            <w:r w:rsidRPr="003A67C3">
              <w:rPr>
                <w:bCs/>
              </w:rPr>
              <w:t>6</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BFD963D" w14:textId="77777777" w:rsidR="009D1C26" w:rsidRPr="003A67C3" w:rsidRDefault="009D1C26" w:rsidP="003A67C3">
            <w:pPr>
              <w:jc w:val="center"/>
              <w:rPr>
                <w:bCs/>
              </w:rPr>
            </w:pPr>
            <w:r w:rsidRPr="003A67C3">
              <w:rPr>
                <w:bCs/>
              </w:rPr>
              <w:t>11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7A798E34" w14:textId="77777777" w:rsidR="009D1C26" w:rsidRPr="003A67C3" w:rsidRDefault="009D1C26" w:rsidP="003A67C3">
            <w:pPr>
              <w:jc w:val="center"/>
              <w:rPr>
                <w:bCs/>
              </w:rPr>
            </w:pPr>
            <w:r w:rsidRPr="003A67C3">
              <w:rPr>
                <w:bCs/>
              </w:rPr>
              <w:t>51</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4515E66" w14:textId="77777777" w:rsidR="009D1C26" w:rsidRPr="003A67C3" w:rsidRDefault="009D1C26" w:rsidP="003A67C3">
            <w:pPr>
              <w:jc w:val="center"/>
              <w:rPr>
                <w:bCs/>
              </w:rPr>
            </w:pPr>
            <w:r w:rsidRPr="003A67C3">
              <w:rPr>
                <w:bCs/>
              </w:rPr>
              <w:t>20</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09F2C1F" w14:textId="77777777" w:rsidR="009D1C26" w:rsidRPr="003A67C3" w:rsidRDefault="009D1C26" w:rsidP="003A67C3">
            <w:pPr>
              <w:jc w:val="center"/>
              <w:rPr>
                <w:bCs/>
              </w:rPr>
            </w:pPr>
            <w:r w:rsidRPr="003A67C3">
              <w:rPr>
                <w:bCs/>
              </w:rPr>
              <w:t>22</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556C7C86" w14:textId="77777777" w:rsidR="009D1C26" w:rsidRPr="003A67C3" w:rsidRDefault="009D1C26" w:rsidP="003A67C3">
            <w:pPr>
              <w:jc w:val="center"/>
              <w:rPr>
                <w:bCs/>
              </w:rPr>
            </w:pPr>
            <w:r w:rsidRPr="003A67C3">
              <w:rPr>
                <w:bCs/>
              </w:rPr>
              <w:t>36</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3DF203A9" w14:textId="77777777" w:rsidR="009D1C26" w:rsidRPr="003A67C3" w:rsidRDefault="009D1C26" w:rsidP="003A67C3">
            <w:pPr>
              <w:jc w:val="center"/>
              <w:rPr>
                <w:bCs/>
              </w:rPr>
            </w:pPr>
            <w:r w:rsidRPr="003A67C3">
              <w:rPr>
                <w:bCs/>
              </w:rPr>
              <w:t>29</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08834237" w14:textId="77777777" w:rsidR="009D1C26" w:rsidRPr="003A67C3" w:rsidRDefault="009D1C26" w:rsidP="003A67C3">
            <w:pPr>
              <w:jc w:val="center"/>
              <w:rPr>
                <w:bCs/>
              </w:rPr>
            </w:pPr>
            <w:r w:rsidRPr="003A67C3">
              <w:rPr>
                <w:bCs/>
              </w:rPr>
              <w:t>6</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2E8FE6F6" w14:textId="77777777" w:rsidR="009D1C26" w:rsidRPr="003A67C3" w:rsidRDefault="009D1C26" w:rsidP="003A67C3">
            <w:pPr>
              <w:jc w:val="center"/>
              <w:rPr>
                <w:bCs/>
              </w:rPr>
            </w:pPr>
            <w:r w:rsidRPr="003A67C3">
              <w:rPr>
                <w:bCs/>
              </w:rPr>
              <w:t>25</w:t>
            </w:r>
          </w:p>
        </w:tc>
        <w:tc>
          <w:tcPr>
            <w:tcW w:w="837" w:type="dxa"/>
            <w:tcBorders>
              <w:top w:val="nil"/>
              <w:left w:val="nil"/>
              <w:bottom w:val="single" w:sz="8" w:space="0" w:color="auto"/>
              <w:right w:val="single" w:sz="8" w:space="0" w:color="auto"/>
            </w:tcBorders>
            <w:noWrap/>
            <w:tcMar>
              <w:top w:w="0" w:type="dxa"/>
              <w:left w:w="108" w:type="dxa"/>
              <w:bottom w:w="0" w:type="dxa"/>
              <w:right w:w="108" w:type="dxa"/>
            </w:tcMar>
            <w:hideMark/>
          </w:tcPr>
          <w:p w14:paraId="619C40EF" w14:textId="77777777" w:rsidR="009D1C26" w:rsidRPr="003A67C3" w:rsidRDefault="009D1C26" w:rsidP="003A67C3">
            <w:pPr>
              <w:jc w:val="center"/>
              <w:rPr>
                <w:bCs/>
              </w:rPr>
            </w:pPr>
            <w:r w:rsidRPr="003A67C3">
              <w:rPr>
                <w:bCs/>
              </w:rPr>
              <w:t>20</w:t>
            </w:r>
          </w:p>
        </w:tc>
      </w:tr>
    </w:tbl>
    <w:p w14:paraId="1EFD2214" w14:textId="35029FDA" w:rsidR="009D1C26" w:rsidRPr="009D1C26" w:rsidRDefault="00936C3A" w:rsidP="009D1C26">
      <w:r w:rsidRPr="009D1C26">
        <w:t>1.</w:t>
      </w:r>
      <w:r w:rsidR="009D1C26" w:rsidRPr="009D1C26">
        <w:t xml:space="preserve"> Data is based on the Regulation 10 preliminary assessment date. </w:t>
      </w:r>
    </w:p>
    <w:p w14:paraId="70112E02" w14:textId="6B0C7B58" w:rsidR="009D1C26" w:rsidRPr="009D1C26" w:rsidRDefault="00936C3A" w:rsidP="009D1C26">
      <w:r w:rsidRPr="009D1C26">
        <w:t>2.</w:t>
      </w:r>
      <w:r w:rsidR="009D1C26" w:rsidRPr="009D1C26">
        <w:t xml:space="preserve"> Data for 2015/16 covers the period of 01/02/2016 – 31/03/2016 inclusive. </w:t>
      </w:r>
    </w:p>
    <w:p w14:paraId="5E1EED46" w14:textId="5F274E98" w:rsidR="009D1C26" w:rsidRDefault="00936C3A" w:rsidP="009D1C26">
      <w:r w:rsidRPr="009D1C26">
        <w:t>3.</w:t>
      </w:r>
      <w:r w:rsidR="009D1C26" w:rsidRPr="009D1C26">
        <w:t xml:space="preserve"> Data for 2024/25 covers the period of 01/04/2024 – 16/12/2024 inclusive. </w:t>
      </w:r>
    </w:p>
    <w:p w14:paraId="3CA27C3F" w14:textId="77777777" w:rsidR="00A81D8F" w:rsidRPr="009D1C26" w:rsidRDefault="00A81D8F" w:rsidP="009D1C26"/>
    <w:p w14:paraId="194E7CEC" w14:textId="77777777" w:rsidR="007A7AF5" w:rsidRPr="007A7AF5" w:rsidRDefault="007A7AF5" w:rsidP="007A7AF5">
      <w:pPr>
        <w:pStyle w:val="Heading2"/>
      </w:pPr>
      <w:r w:rsidRPr="007A7AF5">
        <w:t>4. For the same time frame, of the number identified in question 1, how many of those officers were suspended from duty because of solely data protection issues?</w:t>
      </w:r>
    </w:p>
    <w:p w14:paraId="491BD91C" w14:textId="2A0655FA" w:rsidR="00B51F84" w:rsidRPr="009D1C26" w:rsidRDefault="009D1C26" w:rsidP="00B51F84">
      <w:pPr>
        <w:tabs>
          <w:tab w:val="left" w:pos="5400"/>
        </w:tabs>
      </w:pPr>
      <w:r w:rsidRPr="009D1C26">
        <w:t>Figures provided in the table below detail the number of subject officers suspended in relation to allegation</w:t>
      </w:r>
      <w:r w:rsidR="00B51F84">
        <w:t>s</w:t>
      </w:r>
      <w:r w:rsidRPr="009D1C26">
        <w:t xml:space="preserve"> involving a data protection circumstance and subject to a Regulation 10 preliminary assessment</w:t>
      </w:r>
      <w:r w:rsidR="00B51F84">
        <w:t xml:space="preserve">.  </w:t>
      </w:r>
      <w:r w:rsidR="00B51F84" w:rsidRPr="009D1C26">
        <w:t xml:space="preserve">This data is based on the </w:t>
      </w:r>
      <w:r w:rsidR="00B51F84">
        <w:t xml:space="preserve">date of the </w:t>
      </w:r>
      <w:r w:rsidR="00B51F84" w:rsidRPr="009D1C26">
        <w:t>Regulation 10 preliminary assessment</w:t>
      </w:r>
      <w:r w:rsidR="00B51F84">
        <w:t>.</w:t>
      </w:r>
    </w:p>
    <w:p w14:paraId="7B8A7471" w14:textId="1731131F" w:rsidR="009D1C26" w:rsidRPr="009D1C26" w:rsidRDefault="009D1C26" w:rsidP="009D1C26">
      <w:pPr>
        <w:tabs>
          <w:tab w:val="left" w:pos="5400"/>
        </w:tabs>
      </w:pPr>
      <w:r w:rsidRPr="009D1C26">
        <w:t>As above, cases which involve only allegations with a data protection circumstance have been included in the data we have provided.</w:t>
      </w:r>
    </w:p>
    <w:p w14:paraId="038F93A2" w14:textId="3A0711AA" w:rsidR="009D1C26" w:rsidRPr="009D1C26" w:rsidRDefault="009D1C26" w:rsidP="009D1C26">
      <w:pPr>
        <w:tabs>
          <w:tab w:val="left" w:pos="5400"/>
        </w:tabs>
      </w:pPr>
      <w:r w:rsidRPr="009D1C26">
        <w:t>Please note the suspension start date may vary from the Regulation 10 preliminary assessment date</w:t>
      </w:r>
      <w:r w:rsidR="00B51F84">
        <w:t xml:space="preserve"> </w:t>
      </w:r>
      <w:r w:rsidR="00071B44">
        <w:t xml:space="preserve">which may </w:t>
      </w:r>
      <w:r w:rsidR="00B51F84">
        <w:t>result</w:t>
      </w:r>
      <w:r w:rsidR="00071B44">
        <w:t xml:space="preserve"> in the </w:t>
      </w:r>
      <w:r w:rsidRPr="009D1C26">
        <w:t>suspension start date occu</w:t>
      </w:r>
      <w:r w:rsidR="00071B44">
        <w:t>r</w:t>
      </w:r>
      <w:r w:rsidRPr="009D1C26">
        <w:t>r</w:t>
      </w:r>
      <w:r w:rsidR="00071B44">
        <w:t>ing</w:t>
      </w:r>
      <w:r w:rsidRPr="009D1C26">
        <w:t xml:space="preserve"> within a different financial year</w:t>
      </w:r>
      <w:r w:rsidR="00071B44">
        <w:t xml:space="preserve"> to the Regulation 10 preliminary assessment date</w:t>
      </w:r>
      <w:r w:rsidRPr="009D1C26">
        <w:t xml:space="preserve">. </w:t>
      </w:r>
    </w:p>
    <w:p w14:paraId="6E35F60E" w14:textId="2D84365D" w:rsidR="009D1C26" w:rsidRPr="009D1C26" w:rsidRDefault="009D1C26" w:rsidP="009D1C26">
      <w:pPr>
        <w:tabs>
          <w:tab w:val="left" w:pos="5400"/>
        </w:tabs>
        <w:rPr>
          <w:i/>
          <w:iCs/>
        </w:rPr>
      </w:pPr>
      <w:r w:rsidRPr="009D1C26">
        <w:rPr>
          <w:i/>
          <w:iCs/>
        </w:rPr>
        <w:t>Table</w:t>
      </w:r>
      <w:r w:rsidR="00A81D8F">
        <w:rPr>
          <w:i/>
          <w:iCs/>
        </w:rPr>
        <w:t xml:space="preserve"> 4</w:t>
      </w:r>
      <w:r w:rsidRPr="009D1C26">
        <w:rPr>
          <w:i/>
          <w:iCs/>
        </w:rPr>
        <w:t xml:space="preserve">: </w:t>
      </w:r>
      <w:r w:rsidR="00A81D8F">
        <w:rPr>
          <w:i/>
          <w:iCs/>
        </w:rPr>
        <w:t>Number o</w:t>
      </w:r>
      <w:r w:rsidRPr="009D1C26">
        <w:rPr>
          <w:i/>
          <w:iCs/>
        </w:rPr>
        <w:t>f</w:t>
      </w:r>
      <w:r w:rsidR="00A81D8F">
        <w:rPr>
          <w:i/>
          <w:iCs/>
        </w:rPr>
        <w:t xml:space="preserve"> of</w:t>
      </w:r>
      <w:r w:rsidRPr="009D1C26">
        <w:rPr>
          <w:i/>
          <w:iCs/>
        </w:rPr>
        <w:t xml:space="preserve">ficers suspended and subject to Regulation 10 preliminary assessments for cases involving only data protection allegations, by financial year </w:t>
      </w:r>
      <w:r w:rsidRPr="009D1C26">
        <w:rPr>
          <w:i/>
          <w:iCs/>
          <w:vertAlign w:val="superscript"/>
        </w:rPr>
        <w:t>1 2 3</w:t>
      </w:r>
    </w:p>
    <w:tbl>
      <w:tblPr>
        <w:tblStyle w:val="TableGrid"/>
        <w:tblW w:w="9776" w:type="dxa"/>
        <w:tblLook w:val="04A0" w:firstRow="1" w:lastRow="0" w:firstColumn="1" w:lastColumn="0" w:noHBand="0" w:noVBand="1"/>
      </w:tblPr>
      <w:tblGrid>
        <w:gridCol w:w="1012"/>
        <w:gridCol w:w="1012"/>
        <w:gridCol w:w="1012"/>
        <w:gridCol w:w="1012"/>
        <w:gridCol w:w="1012"/>
        <w:gridCol w:w="1012"/>
        <w:gridCol w:w="1012"/>
        <w:gridCol w:w="1012"/>
        <w:gridCol w:w="1012"/>
        <w:gridCol w:w="1012"/>
      </w:tblGrid>
      <w:tr w:rsidR="00A81D8F" w14:paraId="2086DBE3" w14:textId="77777777" w:rsidTr="003B7B81">
        <w:tc>
          <w:tcPr>
            <w:tcW w:w="962" w:type="dxa"/>
          </w:tcPr>
          <w:p w14:paraId="4ADD43C0" w14:textId="77777777" w:rsidR="00A81D8F" w:rsidRPr="00AA5C16" w:rsidRDefault="00A81D8F" w:rsidP="003B7B81">
            <w:pPr>
              <w:rPr>
                <w:sz w:val="22"/>
                <w:szCs w:val="22"/>
              </w:rPr>
            </w:pPr>
            <w:r w:rsidRPr="00AA5C16">
              <w:rPr>
                <w:sz w:val="22"/>
                <w:szCs w:val="22"/>
              </w:rPr>
              <w:t>2015/16</w:t>
            </w:r>
          </w:p>
        </w:tc>
        <w:tc>
          <w:tcPr>
            <w:tcW w:w="962" w:type="dxa"/>
          </w:tcPr>
          <w:p w14:paraId="257D00AB" w14:textId="77777777" w:rsidR="00A81D8F" w:rsidRPr="00AA5C16" w:rsidRDefault="00A81D8F" w:rsidP="003B7B81">
            <w:pPr>
              <w:rPr>
                <w:sz w:val="22"/>
                <w:szCs w:val="22"/>
              </w:rPr>
            </w:pPr>
            <w:r w:rsidRPr="00AA5C16">
              <w:rPr>
                <w:sz w:val="22"/>
                <w:szCs w:val="22"/>
              </w:rPr>
              <w:t>2016/17</w:t>
            </w:r>
          </w:p>
        </w:tc>
        <w:tc>
          <w:tcPr>
            <w:tcW w:w="963" w:type="dxa"/>
          </w:tcPr>
          <w:p w14:paraId="478F6F18" w14:textId="77777777" w:rsidR="00A81D8F" w:rsidRPr="00AA5C16" w:rsidRDefault="00A81D8F" w:rsidP="003B7B81">
            <w:pPr>
              <w:rPr>
                <w:sz w:val="22"/>
                <w:szCs w:val="22"/>
              </w:rPr>
            </w:pPr>
            <w:r w:rsidRPr="00AA5C16">
              <w:rPr>
                <w:sz w:val="22"/>
                <w:szCs w:val="22"/>
              </w:rPr>
              <w:t>2017/18</w:t>
            </w:r>
          </w:p>
        </w:tc>
        <w:tc>
          <w:tcPr>
            <w:tcW w:w="963" w:type="dxa"/>
          </w:tcPr>
          <w:p w14:paraId="64A5D6CA" w14:textId="77777777" w:rsidR="00A81D8F" w:rsidRPr="00AA5C16" w:rsidRDefault="00A81D8F" w:rsidP="003B7B81">
            <w:pPr>
              <w:rPr>
                <w:sz w:val="22"/>
                <w:szCs w:val="22"/>
              </w:rPr>
            </w:pPr>
            <w:r w:rsidRPr="00AA5C16">
              <w:rPr>
                <w:sz w:val="22"/>
                <w:szCs w:val="22"/>
              </w:rPr>
              <w:t>2018/19</w:t>
            </w:r>
          </w:p>
        </w:tc>
        <w:tc>
          <w:tcPr>
            <w:tcW w:w="963" w:type="dxa"/>
          </w:tcPr>
          <w:p w14:paraId="492DF2E0" w14:textId="77777777" w:rsidR="00A81D8F" w:rsidRPr="00AA5C16" w:rsidRDefault="00A81D8F" w:rsidP="003B7B81">
            <w:pPr>
              <w:rPr>
                <w:sz w:val="22"/>
                <w:szCs w:val="22"/>
              </w:rPr>
            </w:pPr>
            <w:r w:rsidRPr="00AA5C16">
              <w:rPr>
                <w:sz w:val="22"/>
                <w:szCs w:val="22"/>
              </w:rPr>
              <w:t>2019/20</w:t>
            </w:r>
          </w:p>
        </w:tc>
        <w:tc>
          <w:tcPr>
            <w:tcW w:w="963" w:type="dxa"/>
          </w:tcPr>
          <w:p w14:paraId="02CB6002" w14:textId="77777777" w:rsidR="00A81D8F" w:rsidRPr="00AA5C16" w:rsidRDefault="00A81D8F" w:rsidP="003B7B81">
            <w:pPr>
              <w:rPr>
                <w:sz w:val="22"/>
                <w:szCs w:val="22"/>
              </w:rPr>
            </w:pPr>
            <w:r w:rsidRPr="00AA5C16">
              <w:rPr>
                <w:sz w:val="22"/>
                <w:szCs w:val="22"/>
              </w:rPr>
              <w:t>2020/21</w:t>
            </w:r>
          </w:p>
        </w:tc>
        <w:tc>
          <w:tcPr>
            <w:tcW w:w="963" w:type="dxa"/>
          </w:tcPr>
          <w:p w14:paraId="4F2EDE07" w14:textId="77777777" w:rsidR="00A81D8F" w:rsidRPr="00AA5C16" w:rsidRDefault="00A81D8F" w:rsidP="003B7B81">
            <w:pPr>
              <w:rPr>
                <w:sz w:val="22"/>
                <w:szCs w:val="22"/>
              </w:rPr>
            </w:pPr>
            <w:r w:rsidRPr="00AA5C16">
              <w:rPr>
                <w:sz w:val="22"/>
                <w:szCs w:val="22"/>
              </w:rPr>
              <w:t>2012/22</w:t>
            </w:r>
          </w:p>
        </w:tc>
        <w:tc>
          <w:tcPr>
            <w:tcW w:w="963" w:type="dxa"/>
          </w:tcPr>
          <w:p w14:paraId="5408A050" w14:textId="77777777" w:rsidR="00A81D8F" w:rsidRPr="00AA5C16" w:rsidRDefault="00A81D8F" w:rsidP="003B7B81">
            <w:pPr>
              <w:rPr>
                <w:sz w:val="22"/>
                <w:szCs w:val="22"/>
              </w:rPr>
            </w:pPr>
            <w:r w:rsidRPr="00AA5C16">
              <w:rPr>
                <w:sz w:val="22"/>
                <w:szCs w:val="22"/>
              </w:rPr>
              <w:t>2022/23</w:t>
            </w:r>
          </w:p>
        </w:tc>
        <w:tc>
          <w:tcPr>
            <w:tcW w:w="963" w:type="dxa"/>
          </w:tcPr>
          <w:p w14:paraId="69FB11E0" w14:textId="77777777" w:rsidR="00A81D8F" w:rsidRPr="00AA5C16" w:rsidRDefault="00A81D8F" w:rsidP="003B7B81">
            <w:pPr>
              <w:rPr>
                <w:sz w:val="22"/>
                <w:szCs w:val="22"/>
              </w:rPr>
            </w:pPr>
            <w:r w:rsidRPr="00AA5C16">
              <w:rPr>
                <w:sz w:val="22"/>
                <w:szCs w:val="22"/>
              </w:rPr>
              <w:t>2023/24</w:t>
            </w:r>
          </w:p>
        </w:tc>
        <w:tc>
          <w:tcPr>
            <w:tcW w:w="1111" w:type="dxa"/>
          </w:tcPr>
          <w:p w14:paraId="5FE99F08" w14:textId="77777777" w:rsidR="00A81D8F" w:rsidRPr="00AA5C16" w:rsidRDefault="00A81D8F" w:rsidP="003B7B81">
            <w:pPr>
              <w:rPr>
                <w:sz w:val="22"/>
                <w:szCs w:val="22"/>
              </w:rPr>
            </w:pPr>
            <w:r w:rsidRPr="00AA5C16">
              <w:rPr>
                <w:sz w:val="22"/>
                <w:szCs w:val="22"/>
              </w:rPr>
              <w:t>2024/25</w:t>
            </w:r>
          </w:p>
        </w:tc>
      </w:tr>
      <w:tr w:rsidR="00A81D8F" w14:paraId="30C6F227" w14:textId="77777777" w:rsidTr="003B7B81">
        <w:tc>
          <w:tcPr>
            <w:tcW w:w="962" w:type="dxa"/>
          </w:tcPr>
          <w:p w14:paraId="70AE4F1B" w14:textId="77777777" w:rsidR="00A81D8F" w:rsidRPr="00AA5C16" w:rsidRDefault="00A81D8F" w:rsidP="003B7B81">
            <w:pPr>
              <w:rPr>
                <w:sz w:val="22"/>
                <w:szCs w:val="22"/>
              </w:rPr>
            </w:pPr>
            <w:r>
              <w:rPr>
                <w:sz w:val="22"/>
                <w:szCs w:val="22"/>
              </w:rPr>
              <w:t>0</w:t>
            </w:r>
          </w:p>
        </w:tc>
        <w:tc>
          <w:tcPr>
            <w:tcW w:w="962" w:type="dxa"/>
          </w:tcPr>
          <w:p w14:paraId="6A1DAF20" w14:textId="70D17987" w:rsidR="00A81D8F" w:rsidRPr="00AA5C16" w:rsidRDefault="00A81D8F" w:rsidP="003B7B81">
            <w:pPr>
              <w:rPr>
                <w:sz w:val="22"/>
                <w:szCs w:val="22"/>
              </w:rPr>
            </w:pPr>
            <w:r>
              <w:rPr>
                <w:sz w:val="22"/>
                <w:szCs w:val="22"/>
              </w:rPr>
              <w:t>0</w:t>
            </w:r>
          </w:p>
        </w:tc>
        <w:tc>
          <w:tcPr>
            <w:tcW w:w="963" w:type="dxa"/>
          </w:tcPr>
          <w:p w14:paraId="0FD44342" w14:textId="642B2FEA" w:rsidR="00A81D8F" w:rsidRPr="00AA5C16" w:rsidRDefault="00A81D8F" w:rsidP="003B7B81">
            <w:pPr>
              <w:rPr>
                <w:sz w:val="22"/>
                <w:szCs w:val="22"/>
              </w:rPr>
            </w:pPr>
            <w:r>
              <w:rPr>
                <w:sz w:val="22"/>
                <w:szCs w:val="22"/>
              </w:rPr>
              <w:t>0</w:t>
            </w:r>
          </w:p>
        </w:tc>
        <w:tc>
          <w:tcPr>
            <w:tcW w:w="963" w:type="dxa"/>
          </w:tcPr>
          <w:p w14:paraId="5D24EC47" w14:textId="77777777" w:rsidR="00A81D8F" w:rsidRPr="00AA5C16" w:rsidRDefault="00A81D8F" w:rsidP="003B7B81">
            <w:pPr>
              <w:rPr>
                <w:sz w:val="22"/>
                <w:szCs w:val="22"/>
              </w:rPr>
            </w:pPr>
            <w:r>
              <w:rPr>
                <w:sz w:val="22"/>
                <w:szCs w:val="22"/>
              </w:rPr>
              <w:t>0</w:t>
            </w:r>
          </w:p>
        </w:tc>
        <w:tc>
          <w:tcPr>
            <w:tcW w:w="963" w:type="dxa"/>
          </w:tcPr>
          <w:p w14:paraId="6C894D8F" w14:textId="77777777" w:rsidR="00A81D8F" w:rsidRPr="00AA5C16" w:rsidRDefault="00A81D8F" w:rsidP="003B7B81">
            <w:pPr>
              <w:rPr>
                <w:sz w:val="22"/>
                <w:szCs w:val="22"/>
              </w:rPr>
            </w:pPr>
            <w:r>
              <w:rPr>
                <w:sz w:val="22"/>
                <w:szCs w:val="22"/>
              </w:rPr>
              <w:t>1</w:t>
            </w:r>
          </w:p>
        </w:tc>
        <w:tc>
          <w:tcPr>
            <w:tcW w:w="963" w:type="dxa"/>
          </w:tcPr>
          <w:p w14:paraId="6A716B1F" w14:textId="331146CE" w:rsidR="00A81D8F" w:rsidRPr="00AA5C16" w:rsidRDefault="00A81D8F" w:rsidP="003B7B81">
            <w:pPr>
              <w:rPr>
                <w:sz w:val="22"/>
                <w:szCs w:val="22"/>
              </w:rPr>
            </w:pPr>
            <w:r>
              <w:rPr>
                <w:sz w:val="22"/>
                <w:szCs w:val="22"/>
              </w:rPr>
              <w:t>0</w:t>
            </w:r>
          </w:p>
        </w:tc>
        <w:tc>
          <w:tcPr>
            <w:tcW w:w="963" w:type="dxa"/>
          </w:tcPr>
          <w:p w14:paraId="1C276DFD" w14:textId="078B8F92" w:rsidR="00A81D8F" w:rsidRPr="00AA5C16" w:rsidRDefault="00A81D8F" w:rsidP="003B7B81">
            <w:pPr>
              <w:rPr>
                <w:sz w:val="22"/>
                <w:szCs w:val="22"/>
              </w:rPr>
            </w:pPr>
            <w:r>
              <w:rPr>
                <w:sz w:val="22"/>
                <w:szCs w:val="22"/>
              </w:rPr>
              <w:t>0</w:t>
            </w:r>
          </w:p>
        </w:tc>
        <w:tc>
          <w:tcPr>
            <w:tcW w:w="963" w:type="dxa"/>
          </w:tcPr>
          <w:p w14:paraId="2FB341B4" w14:textId="3F613E08" w:rsidR="00A81D8F" w:rsidRPr="00AA5C16" w:rsidRDefault="00A81D8F" w:rsidP="003B7B81">
            <w:pPr>
              <w:rPr>
                <w:sz w:val="22"/>
                <w:szCs w:val="22"/>
              </w:rPr>
            </w:pPr>
            <w:r>
              <w:rPr>
                <w:sz w:val="22"/>
                <w:szCs w:val="22"/>
              </w:rPr>
              <w:t>0</w:t>
            </w:r>
          </w:p>
        </w:tc>
        <w:tc>
          <w:tcPr>
            <w:tcW w:w="963" w:type="dxa"/>
          </w:tcPr>
          <w:p w14:paraId="0AEC521D" w14:textId="5259FB85" w:rsidR="00A81D8F" w:rsidRPr="00AA5C16" w:rsidRDefault="00A81D8F" w:rsidP="003B7B81">
            <w:pPr>
              <w:rPr>
                <w:sz w:val="22"/>
                <w:szCs w:val="22"/>
              </w:rPr>
            </w:pPr>
            <w:r>
              <w:rPr>
                <w:sz w:val="22"/>
                <w:szCs w:val="22"/>
              </w:rPr>
              <w:t>1</w:t>
            </w:r>
          </w:p>
        </w:tc>
        <w:tc>
          <w:tcPr>
            <w:tcW w:w="1111" w:type="dxa"/>
          </w:tcPr>
          <w:p w14:paraId="2716CD19" w14:textId="2F58AE70" w:rsidR="00A81D8F" w:rsidRPr="00AA5C16" w:rsidRDefault="00A81D8F" w:rsidP="003B7B81">
            <w:pPr>
              <w:rPr>
                <w:sz w:val="22"/>
                <w:szCs w:val="22"/>
              </w:rPr>
            </w:pPr>
            <w:r>
              <w:rPr>
                <w:sz w:val="22"/>
                <w:szCs w:val="22"/>
              </w:rPr>
              <w:t>0</w:t>
            </w:r>
          </w:p>
        </w:tc>
      </w:tr>
    </w:tbl>
    <w:p w14:paraId="2FC0AA19" w14:textId="30CB446B" w:rsidR="009D1C26" w:rsidRPr="009D1C26" w:rsidRDefault="00936C3A" w:rsidP="0052277D">
      <w:r w:rsidRPr="009D1C26">
        <w:t>1.</w:t>
      </w:r>
      <w:r w:rsidR="009D1C26" w:rsidRPr="009D1C26">
        <w:t xml:space="preserve"> Data is based on the Regulation 10 preliminary assessment date. </w:t>
      </w:r>
    </w:p>
    <w:p w14:paraId="0D4A4E56" w14:textId="5B0D0C25" w:rsidR="009D1C26" w:rsidRPr="009D1C26" w:rsidRDefault="00936C3A" w:rsidP="009D1C26">
      <w:pPr>
        <w:tabs>
          <w:tab w:val="left" w:pos="5400"/>
        </w:tabs>
      </w:pPr>
      <w:r w:rsidRPr="009D1C26">
        <w:t>2.</w:t>
      </w:r>
      <w:r w:rsidR="009D1C26" w:rsidRPr="009D1C26">
        <w:t xml:space="preserve"> Data for 2015/16 covers the period of 01/02/2016 – 31/03/2016 inclusive. </w:t>
      </w:r>
    </w:p>
    <w:p w14:paraId="76ABF721" w14:textId="401AF611" w:rsidR="009D1C26" w:rsidRPr="009D1C26" w:rsidRDefault="00936C3A" w:rsidP="009D1C26">
      <w:pPr>
        <w:tabs>
          <w:tab w:val="left" w:pos="5400"/>
        </w:tabs>
      </w:pPr>
      <w:r w:rsidRPr="009D1C26">
        <w:lastRenderedPageBreak/>
        <w:t>3.</w:t>
      </w:r>
      <w:r w:rsidR="009D1C26" w:rsidRPr="009D1C26">
        <w:t xml:space="preserve"> Data for 2024/25 covers the period of 01/04/2024 – 16/12/2024 inclusive. </w:t>
      </w:r>
    </w:p>
    <w:p w14:paraId="3E34AE8A" w14:textId="77777777" w:rsidR="009D1C26" w:rsidRPr="009D1C26" w:rsidRDefault="009D1C26" w:rsidP="009D1C26">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1E8B2" w14:textId="77777777" w:rsidR="006B51E6" w:rsidRDefault="006B51E6" w:rsidP="00491644">
      <w:r>
        <w:separator/>
      </w:r>
    </w:p>
  </w:endnote>
  <w:endnote w:type="continuationSeparator" w:id="0">
    <w:p w14:paraId="74FBF36D" w14:textId="77777777" w:rsidR="006B51E6" w:rsidRDefault="006B51E6"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A6BBF1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11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34BBD0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11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523CA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11B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06CBB" w14:textId="77777777" w:rsidR="006B51E6" w:rsidRDefault="006B51E6" w:rsidP="00491644">
      <w:r>
        <w:separator/>
      </w:r>
    </w:p>
  </w:footnote>
  <w:footnote w:type="continuationSeparator" w:id="0">
    <w:p w14:paraId="0EFDEB2F" w14:textId="77777777" w:rsidR="006B51E6" w:rsidRDefault="006B51E6"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7882D0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11B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4BA5C63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11B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61D5356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C11B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45C"/>
    <w:rsid w:val="000419F0"/>
    <w:rsid w:val="00071B44"/>
    <w:rsid w:val="00090F3B"/>
    <w:rsid w:val="00095754"/>
    <w:rsid w:val="000B7847"/>
    <w:rsid w:val="000C316A"/>
    <w:rsid w:val="000E2F19"/>
    <w:rsid w:val="000E6526"/>
    <w:rsid w:val="00141533"/>
    <w:rsid w:val="001576DD"/>
    <w:rsid w:val="00167528"/>
    <w:rsid w:val="00174E23"/>
    <w:rsid w:val="00175FB7"/>
    <w:rsid w:val="00195CC4"/>
    <w:rsid w:val="001A2C52"/>
    <w:rsid w:val="00201727"/>
    <w:rsid w:val="00207326"/>
    <w:rsid w:val="00231D07"/>
    <w:rsid w:val="00253DF6"/>
    <w:rsid w:val="00255F1E"/>
    <w:rsid w:val="002B43AF"/>
    <w:rsid w:val="002B7114"/>
    <w:rsid w:val="00332319"/>
    <w:rsid w:val="0036503B"/>
    <w:rsid w:val="003A67C3"/>
    <w:rsid w:val="003D6D03"/>
    <w:rsid w:val="003E12CA"/>
    <w:rsid w:val="004010DC"/>
    <w:rsid w:val="004341F0"/>
    <w:rsid w:val="00456324"/>
    <w:rsid w:val="00464084"/>
    <w:rsid w:val="00475460"/>
    <w:rsid w:val="00490317"/>
    <w:rsid w:val="00491644"/>
    <w:rsid w:val="00496A08"/>
    <w:rsid w:val="004A35D5"/>
    <w:rsid w:val="004E1605"/>
    <w:rsid w:val="004F653C"/>
    <w:rsid w:val="00504A55"/>
    <w:rsid w:val="0052277D"/>
    <w:rsid w:val="00540A52"/>
    <w:rsid w:val="00557306"/>
    <w:rsid w:val="00592A05"/>
    <w:rsid w:val="00631119"/>
    <w:rsid w:val="00640CDE"/>
    <w:rsid w:val="00645CFA"/>
    <w:rsid w:val="00657A5E"/>
    <w:rsid w:val="006B51E6"/>
    <w:rsid w:val="006C6460"/>
    <w:rsid w:val="006D5799"/>
    <w:rsid w:val="00743BB0"/>
    <w:rsid w:val="00750D83"/>
    <w:rsid w:val="00752ED6"/>
    <w:rsid w:val="00774550"/>
    <w:rsid w:val="00785DBC"/>
    <w:rsid w:val="00793DD5"/>
    <w:rsid w:val="007A7AF5"/>
    <w:rsid w:val="007B2080"/>
    <w:rsid w:val="007D55F6"/>
    <w:rsid w:val="007F490F"/>
    <w:rsid w:val="0080345C"/>
    <w:rsid w:val="0086779C"/>
    <w:rsid w:val="00874BFD"/>
    <w:rsid w:val="008964EF"/>
    <w:rsid w:val="00915E01"/>
    <w:rsid w:val="00936C3A"/>
    <w:rsid w:val="009631A4"/>
    <w:rsid w:val="00966E6D"/>
    <w:rsid w:val="00977296"/>
    <w:rsid w:val="009C11BC"/>
    <w:rsid w:val="009D1C26"/>
    <w:rsid w:val="009E2050"/>
    <w:rsid w:val="009F3E38"/>
    <w:rsid w:val="00A03D84"/>
    <w:rsid w:val="00A061E3"/>
    <w:rsid w:val="00A25E93"/>
    <w:rsid w:val="00A320FF"/>
    <w:rsid w:val="00A675BB"/>
    <w:rsid w:val="00A70AC0"/>
    <w:rsid w:val="00A81D8F"/>
    <w:rsid w:val="00A84EA9"/>
    <w:rsid w:val="00AA5C16"/>
    <w:rsid w:val="00AC443C"/>
    <w:rsid w:val="00AC4B71"/>
    <w:rsid w:val="00AE741E"/>
    <w:rsid w:val="00B11A55"/>
    <w:rsid w:val="00B17211"/>
    <w:rsid w:val="00B461B2"/>
    <w:rsid w:val="00B51F84"/>
    <w:rsid w:val="00B654B6"/>
    <w:rsid w:val="00B71B3C"/>
    <w:rsid w:val="00B83527"/>
    <w:rsid w:val="00B918C4"/>
    <w:rsid w:val="00BA0CCE"/>
    <w:rsid w:val="00BC1347"/>
    <w:rsid w:val="00BC389E"/>
    <w:rsid w:val="00BE1888"/>
    <w:rsid w:val="00BE5BE4"/>
    <w:rsid w:val="00BF6B81"/>
    <w:rsid w:val="00C077A8"/>
    <w:rsid w:val="00C14FF4"/>
    <w:rsid w:val="00C4016C"/>
    <w:rsid w:val="00C606A2"/>
    <w:rsid w:val="00C63872"/>
    <w:rsid w:val="00C84948"/>
    <w:rsid w:val="00CB3707"/>
    <w:rsid w:val="00CC705D"/>
    <w:rsid w:val="00CD0C53"/>
    <w:rsid w:val="00CF1111"/>
    <w:rsid w:val="00CF7AD6"/>
    <w:rsid w:val="00D05706"/>
    <w:rsid w:val="00D265E6"/>
    <w:rsid w:val="00D27DC5"/>
    <w:rsid w:val="00D44B13"/>
    <w:rsid w:val="00D47E36"/>
    <w:rsid w:val="00D7784F"/>
    <w:rsid w:val="00E55D79"/>
    <w:rsid w:val="00EE2373"/>
    <w:rsid w:val="00EF4761"/>
    <w:rsid w:val="00EF6523"/>
    <w:rsid w:val="00F21D44"/>
    <w:rsid w:val="00F50834"/>
    <w:rsid w:val="00F54B98"/>
    <w:rsid w:val="00FC2DA7"/>
    <w:rsid w:val="00FE05CD"/>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66E6D"/>
    <w:rPr>
      <w:color w:val="605E5C"/>
      <w:shd w:val="clear" w:color="auto" w:fill="E1DFDD"/>
    </w:rPr>
  </w:style>
  <w:style w:type="character" w:styleId="CommentReference">
    <w:name w:val="annotation reference"/>
    <w:basedOn w:val="DefaultParagraphFont"/>
    <w:uiPriority w:val="99"/>
    <w:semiHidden/>
    <w:unhideWhenUsed/>
    <w:rsid w:val="00FE05CD"/>
    <w:rPr>
      <w:sz w:val="16"/>
      <w:szCs w:val="16"/>
    </w:rPr>
  </w:style>
  <w:style w:type="paragraph" w:styleId="CommentText">
    <w:name w:val="annotation text"/>
    <w:basedOn w:val="Normal"/>
    <w:link w:val="CommentTextChar"/>
    <w:uiPriority w:val="99"/>
    <w:unhideWhenUsed/>
    <w:rsid w:val="00FE05CD"/>
    <w:pPr>
      <w:spacing w:line="240" w:lineRule="auto"/>
    </w:pPr>
    <w:rPr>
      <w:sz w:val="20"/>
      <w:szCs w:val="20"/>
    </w:rPr>
  </w:style>
  <w:style w:type="character" w:customStyle="1" w:styleId="CommentTextChar">
    <w:name w:val="Comment Text Char"/>
    <w:basedOn w:val="DefaultParagraphFont"/>
    <w:link w:val="CommentText"/>
    <w:uiPriority w:val="99"/>
    <w:rsid w:val="00FE05CD"/>
    <w:rPr>
      <w:sz w:val="20"/>
      <w:szCs w:val="20"/>
    </w:rPr>
  </w:style>
  <w:style w:type="paragraph" w:styleId="CommentSubject">
    <w:name w:val="annotation subject"/>
    <w:basedOn w:val="CommentText"/>
    <w:next w:val="CommentText"/>
    <w:link w:val="CommentSubjectChar"/>
    <w:uiPriority w:val="99"/>
    <w:semiHidden/>
    <w:unhideWhenUsed/>
    <w:rsid w:val="00FE05CD"/>
    <w:rPr>
      <w:b/>
      <w:bCs/>
    </w:rPr>
  </w:style>
  <w:style w:type="character" w:customStyle="1" w:styleId="CommentSubjectChar">
    <w:name w:val="Comment Subject Char"/>
    <w:basedOn w:val="CommentTextChar"/>
    <w:link w:val="CommentSubject"/>
    <w:uiPriority w:val="99"/>
    <w:semiHidden/>
    <w:rsid w:val="00FE0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463698">
      <w:bodyDiv w:val="1"/>
      <w:marLeft w:val="0"/>
      <w:marRight w:val="0"/>
      <w:marTop w:val="0"/>
      <w:marBottom w:val="0"/>
      <w:divBdr>
        <w:top w:val="none" w:sz="0" w:space="0" w:color="auto"/>
        <w:left w:val="none" w:sz="0" w:space="0" w:color="auto"/>
        <w:bottom w:val="none" w:sz="0" w:space="0" w:color="auto"/>
        <w:right w:val="none" w:sz="0" w:space="0" w:color="auto"/>
      </w:divBdr>
    </w:div>
    <w:div w:id="418254518">
      <w:bodyDiv w:val="1"/>
      <w:marLeft w:val="0"/>
      <w:marRight w:val="0"/>
      <w:marTop w:val="0"/>
      <w:marBottom w:val="0"/>
      <w:divBdr>
        <w:top w:val="none" w:sz="0" w:space="0" w:color="auto"/>
        <w:left w:val="none" w:sz="0" w:space="0" w:color="auto"/>
        <w:bottom w:val="none" w:sz="0" w:space="0" w:color="auto"/>
        <w:right w:val="none" w:sz="0" w:space="0" w:color="auto"/>
      </w:divBdr>
    </w:div>
    <w:div w:id="604269192">
      <w:bodyDiv w:val="1"/>
      <w:marLeft w:val="0"/>
      <w:marRight w:val="0"/>
      <w:marTop w:val="0"/>
      <w:marBottom w:val="0"/>
      <w:divBdr>
        <w:top w:val="none" w:sz="0" w:space="0" w:color="auto"/>
        <w:left w:val="none" w:sz="0" w:space="0" w:color="auto"/>
        <w:bottom w:val="none" w:sz="0" w:space="0" w:color="auto"/>
        <w:right w:val="none" w:sz="0" w:space="0" w:color="auto"/>
      </w:divBdr>
    </w:div>
    <w:div w:id="658532860">
      <w:bodyDiv w:val="1"/>
      <w:marLeft w:val="0"/>
      <w:marRight w:val="0"/>
      <w:marTop w:val="0"/>
      <w:marBottom w:val="0"/>
      <w:divBdr>
        <w:top w:val="none" w:sz="0" w:space="0" w:color="auto"/>
        <w:left w:val="none" w:sz="0" w:space="0" w:color="auto"/>
        <w:bottom w:val="none" w:sz="0" w:space="0" w:color="auto"/>
        <w:right w:val="none" w:sz="0" w:space="0" w:color="auto"/>
      </w:divBdr>
    </w:div>
    <w:div w:id="798693465">
      <w:bodyDiv w:val="1"/>
      <w:marLeft w:val="0"/>
      <w:marRight w:val="0"/>
      <w:marTop w:val="0"/>
      <w:marBottom w:val="0"/>
      <w:divBdr>
        <w:top w:val="none" w:sz="0" w:space="0" w:color="auto"/>
        <w:left w:val="none" w:sz="0" w:space="0" w:color="auto"/>
        <w:bottom w:val="none" w:sz="0" w:space="0" w:color="auto"/>
        <w:right w:val="none" w:sz="0" w:space="0" w:color="auto"/>
      </w:divBdr>
    </w:div>
    <w:div w:id="1005785953">
      <w:bodyDiv w:val="1"/>
      <w:marLeft w:val="0"/>
      <w:marRight w:val="0"/>
      <w:marTop w:val="0"/>
      <w:marBottom w:val="0"/>
      <w:divBdr>
        <w:top w:val="none" w:sz="0" w:space="0" w:color="auto"/>
        <w:left w:val="none" w:sz="0" w:space="0" w:color="auto"/>
        <w:bottom w:val="none" w:sz="0" w:space="0" w:color="auto"/>
        <w:right w:val="none" w:sz="0" w:space="0" w:color="auto"/>
      </w:divBdr>
    </w:div>
    <w:div w:id="1302074506">
      <w:bodyDiv w:val="1"/>
      <w:marLeft w:val="0"/>
      <w:marRight w:val="0"/>
      <w:marTop w:val="0"/>
      <w:marBottom w:val="0"/>
      <w:divBdr>
        <w:top w:val="none" w:sz="0" w:space="0" w:color="auto"/>
        <w:left w:val="none" w:sz="0" w:space="0" w:color="auto"/>
        <w:bottom w:val="none" w:sz="0" w:space="0" w:color="auto"/>
        <w:right w:val="none" w:sz="0" w:space="0" w:color="auto"/>
      </w:divBdr>
    </w:div>
    <w:div w:id="1651523416">
      <w:bodyDiv w:val="1"/>
      <w:marLeft w:val="0"/>
      <w:marRight w:val="0"/>
      <w:marTop w:val="0"/>
      <w:marBottom w:val="0"/>
      <w:divBdr>
        <w:top w:val="none" w:sz="0" w:space="0" w:color="auto"/>
        <w:left w:val="none" w:sz="0" w:space="0" w:color="auto"/>
        <w:bottom w:val="none" w:sz="0" w:space="0" w:color="auto"/>
        <w:right w:val="none" w:sz="0" w:space="0" w:color="auto"/>
      </w:divBdr>
    </w:div>
    <w:div w:id="2011835391">
      <w:bodyDiv w:val="1"/>
      <w:marLeft w:val="0"/>
      <w:marRight w:val="0"/>
      <w:marTop w:val="0"/>
      <w:marBottom w:val="0"/>
      <w:divBdr>
        <w:top w:val="none" w:sz="0" w:space="0" w:color="auto"/>
        <w:left w:val="none" w:sz="0" w:space="0" w:color="auto"/>
        <w:bottom w:val="none" w:sz="0" w:space="0" w:color="auto"/>
        <w:right w:val="none" w:sz="0" w:space="0" w:color="auto"/>
      </w:divBdr>
    </w:div>
    <w:div w:id="2021424504">
      <w:bodyDiv w:val="1"/>
      <w:marLeft w:val="0"/>
      <w:marRight w:val="0"/>
      <w:marTop w:val="0"/>
      <w:marBottom w:val="0"/>
      <w:divBdr>
        <w:top w:val="none" w:sz="0" w:space="0" w:color="auto"/>
        <w:left w:val="none" w:sz="0" w:space="0" w:color="auto"/>
        <w:bottom w:val="none" w:sz="0" w:space="0" w:color="auto"/>
        <w:right w:val="none" w:sz="0" w:space="0" w:color="auto"/>
      </w:divBdr>
    </w:div>
    <w:div w:id="2032873931">
      <w:bodyDiv w:val="1"/>
      <w:marLeft w:val="0"/>
      <w:marRight w:val="0"/>
      <w:marTop w:val="0"/>
      <w:marBottom w:val="0"/>
      <w:divBdr>
        <w:top w:val="none" w:sz="0" w:space="0" w:color="auto"/>
        <w:left w:val="none" w:sz="0" w:space="0" w:color="auto"/>
        <w:bottom w:val="none" w:sz="0" w:space="0" w:color="auto"/>
        <w:right w:val="none" w:sz="0" w:space="0" w:color="auto"/>
      </w:divBdr>
    </w:div>
    <w:div w:id="20883843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cotland.police.uk/about-us/who-we-are/our-standards-of-professional-behaviou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gov.scot/binaries/content/documents/govscot/publications/factsheet/2018/04/conduct-and-performance-procedures-police-guidance/documents/police-guidance-conduct-procedures/police-guidance-conduct-procedures/govscot%3Adocument/Police%2BService%2Bof%2BScotland%2B%2528conduct%2529%2Bregulations%2B2014.pdf"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ssi/2014/68/contents/mad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1252</Words>
  <Characters>7138</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2025-01-28T08:46:00Z</dcterms:created>
  <dcterms:modified xsi:type="dcterms:W3CDTF">2025-01-28T15:06:00Z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