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174096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7D2175">
              <w:t>2454</w:t>
            </w:r>
          </w:p>
          <w:p w14:paraId="5BEC4C5F" w14:textId="6E1298EA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A552B">
              <w:t xml:space="preserve">October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90E2B4" w14:textId="77777777" w:rsidR="00F0103E" w:rsidRDefault="00F0103E" w:rsidP="00F0103E">
      <w:pPr>
        <w:pStyle w:val="Heading2"/>
      </w:pPr>
      <w:r>
        <w:t>Can I please request the following information under the Freedom of Information (Scotland) Act 2002:</w:t>
      </w:r>
    </w:p>
    <w:p w14:paraId="0B22EAC0" w14:textId="77777777" w:rsidR="002D0414" w:rsidRDefault="00F0103E" w:rsidP="002D0414">
      <w:pPr>
        <w:pStyle w:val="Heading2"/>
        <w:numPr>
          <w:ilvl w:val="0"/>
          <w:numId w:val="12"/>
        </w:numPr>
      </w:pPr>
      <w:r>
        <w:t>The total number of data protection breaches that have occurred during each year since 2018.</w:t>
      </w:r>
      <w:r w:rsidR="00FA1566">
        <w:t xml:space="preserve"> </w:t>
      </w:r>
      <w:r w:rsidR="007D2175">
        <w:t>For each breach reported, please provide (a) the year of the breach, (b</w:t>
      </w:r>
      <w:r w:rsidR="007D2175" w:rsidRPr="007371CC">
        <w:rPr>
          <w:color w:val="auto"/>
        </w:rPr>
        <w:t xml:space="preserve">) </w:t>
      </w:r>
      <w:r w:rsidR="007D2175" w:rsidRPr="007371CC">
        <w:rPr>
          <w:bCs/>
          <w:color w:val="auto"/>
        </w:rPr>
        <w:t>if possible</w:t>
      </w:r>
      <w:r w:rsidR="007D2175" w:rsidRPr="007371CC">
        <w:rPr>
          <w:color w:val="auto"/>
        </w:rPr>
        <w:t xml:space="preserve">, the department involved, </w:t>
      </w:r>
      <w:r w:rsidR="007D2175">
        <w:t xml:space="preserve">(c) </w:t>
      </w:r>
      <w:r w:rsidR="007D2175">
        <w:rPr>
          <w:bCs/>
        </w:rPr>
        <w:t>if possible</w:t>
      </w:r>
      <w:r w:rsidR="007D2175">
        <w:t>, the number of individuals affected.</w:t>
      </w:r>
    </w:p>
    <w:p w14:paraId="705CB7C0" w14:textId="152A198D" w:rsidR="000429B1" w:rsidRDefault="007D2175" w:rsidP="002D0414">
      <w:pPr>
        <w:pStyle w:val="Heading2"/>
        <w:numPr>
          <w:ilvl w:val="0"/>
          <w:numId w:val="12"/>
        </w:numPr>
      </w:pPr>
      <w:r>
        <w:t>Please provide information on whether any serious data breaches (as defined under GDPR) have failed to be reported to the Information Commissioner’s Office (ICO) within the legally required 72-hour period and the year of the breach.</w:t>
      </w:r>
    </w:p>
    <w:p w14:paraId="026017DD" w14:textId="288326F7" w:rsidR="002C71EF" w:rsidRDefault="000429B1" w:rsidP="002C71EF">
      <w:r>
        <w:t xml:space="preserve">For clarity, an </w:t>
      </w:r>
      <w:r w:rsidR="002C71EF">
        <w:t xml:space="preserve">Information Security Incident is defined as </w:t>
      </w:r>
      <w:r w:rsidR="002C71EF" w:rsidRPr="007371CC">
        <w:rPr>
          <w:i/>
          <w:iCs/>
        </w:rPr>
        <w:t>any</w:t>
      </w:r>
      <w:r w:rsidR="002C71EF">
        <w:t xml:space="preserve"> event or action that results in an actual or potential compromise of Police Scotland information assets, the communications infrastructure, physical harm to individuals or loss or theft of ICT equipment.</w:t>
      </w:r>
    </w:p>
    <w:p w14:paraId="11F61A3F" w14:textId="559487E3" w:rsidR="000429B1" w:rsidRDefault="002C71EF" w:rsidP="007371CC">
      <w:r>
        <w:t xml:space="preserve">If personal information is compromised, then the Information Security Incident is further considered as a Data Breach in compliance with the </w:t>
      </w:r>
      <w:hyperlink r:id="rId8" w:history="1">
        <w:r>
          <w:rPr>
            <w:rStyle w:val="Hyperlink"/>
          </w:rPr>
          <w:t>Data Protection Act 2018 (legislation.gov.uk)</w:t>
        </w:r>
      </w:hyperlink>
      <w:r>
        <w:t xml:space="preserve"> </w:t>
      </w:r>
    </w:p>
    <w:p w14:paraId="66875F5B" w14:textId="3E2DFBE3" w:rsidR="007371CC" w:rsidRPr="007371CC" w:rsidRDefault="007371CC" w:rsidP="007371CC">
      <w:r>
        <w:t>The requested information in relation to</w:t>
      </w:r>
      <w:r w:rsidR="003F2BCB">
        <w:t xml:space="preserve"> 1a) and 2</w:t>
      </w:r>
      <w:r>
        <w:t xml:space="preserve"> is provided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Security Incidents - data breaches"/>
        <w:tblDescription w:val="Information Security Incidents - data breaches"/>
      </w:tblPr>
      <w:tblGrid>
        <w:gridCol w:w="880"/>
        <w:gridCol w:w="1667"/>
        <w:gridCol w:w="2593"/>
        <w:gridCol w:w="1659"/>
        <w:gridCol w:w="2501"/>
      </w:tblGrid>
      <w:tr w:rsidR="007371CC" w:rsidRPr="007371CC" w14:paraId="46CEA72D" w14:textId="77777777" w:rsidTr="002C71EF">
        <w:trPr>
          <w:trHeight w:val="315"/>
          <w:tblHeader/>
        </w:trPr>
        <w:tc>
          <w:tcPr>
            <w:tcW w:w="880" w:type="dxa"/>
            <w:shd w:val="clear" w:color="auto" w:fill="D9D9D9" w:themeFill="background1" w:themeFillShade="D9"/>
            <w:noWrap/>
            <w:hideMark/>
          </w:tcPr>
          <w:p w14:paraId="06B73AD2" w14:textId="77777777" w:rsidR="007371CC" w:rsidRPr="007371CC" w:rsidRDefault="007371CC" w:rsidP="002D0414">
            <w:pPr>
              <w:spacing w:line="240" w:lineRule="auto"/>
              <w:rPr>
                <w:b/>
                <w:bCs/>
              </w:rPr>
            </w:pPr>
            <w:r w:rsidRPr="007371CC">
              <w:rPr>
                <w:b/>
                <w:bCs/>
              </w:rPr>
              <w:t>Year</w:t>
            </w:r>
          </w:p>
        </w:tc>
        <w:tc>
          <w:tcPr>
            <w:tcW w:w="1667" w:type="dxa"/>
            <w:shd w:val="clear" w:color="auto" w:fill="D9D9D9" w:themeFill="background1" w:themeFillShade="D9"/>
            <w:hideMark/>
          </w:tcPr>
          <w:p w14:paraId="3E582EA1" w14:textId="2D399EAE" w:rsidR="007371CC" w:rsidRPr="007371CC" w:rsidRDefault="007371CC" w:rsidP="002D0414">
            <w:pPr>
              <w:spacing w:line="240" w:lineRule="auto"/>
              <w:rPr>
                <w:b/>
                <w:bCs/>
              </w:rPr>
            </w:pPr>
            <w:r w:rsidRPr="007371CC">
              <w:rPr>
                <w:b/>
                <w:bCs/>
              </w:rPr>
              <w:t>Breaches Reported</w:t>
            </w:r>
          </w:p>
        </w:tc>
        <w:tc>
          <w:tcPr>
            <w:tcW w:w="2593" w:type="dxa"/>
            <w:shd w:val="clear" w:color="auto" w:fill="D9D9D9" w:themeFill="background1" w:themeFillShade="D9"/>
            <w:noWrap/>
            <w:hideMark/>
          </w:tcPr>
          <w:p w14:paraId="5801B3FF" w14:textId="1B0BC2B7" w:rsidR="007371CC" w:rsidRPr="007371CC" w:rsidRDefault="007371CC" w:rsidP="002D0414">
            <w:pPr>
              <w:spacing w:line="240" w:lineRule="auto"/>
              <w:rPr>
                <w:b/>
                <w:bCs/>
              </w:rPr>
            </w:pPr>
            <w:r w:rsidRPr="007371CC">
              <w:rPr>
                <w:b/>
                <w:bCs/>
              </w:rPr>
              <w:t xml:space="preserve">Data Loss Incidents 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hideMark/>
          </w:tcPr>
          <w:p w14:paraId="546331D9" w14:textId="16893588" w:rsidR="007371CC" w:rsidRPr="007371CC" w:rsidRDefault="007371CC" w:rsidP="002D0414">
            <w:pPr>
              <w:spacing w:line="240" w:lineRule="auto"/>
              <w:rPr>
                <w:b/>
                <w:bCs/>
              </w:rPr>
            </w:pPr>
            <w:r w:rsidRPr="007371CC">
              <w:rPr>
                <w:b/>
                <w:bCs/>
              </w:rPr>
              <w:t>Reported to ICO</w:t>
            </w:r>
          </w:p>
        </w:tc>
        <w:tc>
          <w:tcPr>
            <w:tcW w:w="2501" w:type="dxa"/>
            <w:shd w:val="clear" w:color="auto" w:fill="D9D9D9" w:themeFill="background1" w:themeFillShade="D9"/>
            <w:noWrap/>
            <w:hideMark/>
          </w:tcPr>
          <w:p w14:paraId="7C7C4777" w14:textId="77777777" w:rsidR="007371CC" w:rsidRPr="007371CC" w:rsidRDefault="007371CC" w:rsidP="002D0414">
            <w:pPr>
              <w:spacing w:line="240" w:lineRule="auto"/>
              <w:rPr>
                <w:b/>
                <w:bCs/>
              </w:rPr>
            </w:pPr>
            <w:r w:rsidRPr="007371CC">
              <w:rPr>
                <w:b/>
                <w:bCs/>
              </w:rPr>
              <w:t>Within 72 hours</w:t>
            </w:r>
          </w:p>
        </w:tc>
      </w:tr>
      <w:tr w:rsidR="007371CC" w:rsidRPr="007371CC" w14:paraId="72F0321B" w14:textId="77777777" w:rsidTr="007371CC">
        <w:trPr>
          <w:trHeight w:val="300"/>
        </w:trPr>
        <w:tc>
          <w:tcPr>
            <w:tcW w:w="880" w:type="dxa"/>
            <w:noWrap/>
            <w:hideMark/>
          </w:tcPr>
          <w:p w14:paraId="00F04870" w14:textId="77777777" w:rsidR="007371CC" w:rsidRPr="007371CC" w:rsidRDefault="007371CC" w:rsidP="002D0414">
            <w:pPr>
              <w:spacing w:line="240" w:lineRule="auto"/>
            </w:pPr>
            <w:r w:rsidRPr="007371CC">
              <w:t>2018</w:t>
            </w:r>
          </w:p>
        </w:tc>
        <w:tc>
          <w:tcPr>
            <w:tcW w:w="1667" w:type="dxa"/>
            <w:hideMark/>
          </w:tcPr>
          <w:p w14:paraId="1D17910F" w14:textId="77777777" w:rsidR="007371CC" w:rsidRPr="007371CC" w:rsidRDefault="007371CC" w:rsidP="002D0414">
            <w:pPr>
              <w:spacing w:line="240" w:lineRule="auto"/>
            </w:pPr>
            <w:r w:rsidRPr="007371CC">
              <w:t>253</w:t>
            </w:r>
          </w:p>
        </w:tc>
        <w:tc>
          <w:tcPr>
            <w:tcW w:w="2593" w:type="dxa"/>
            <w:noWrap/>
            <w:hideMark/>
          </w:tcPr>
          <w:p w14:paraId="2C24B1E9" w14:textId="77777777" w:rsidR="007371CC" w:rsidRPr="007371CC" w:rsidRDefault="007371CC" w:rsidP="002D0414">
            <w:pPr>
              <w:spacing w:line="240" w:lineRule="auto"/>
            </w:pPr>
            <w:r w:rsidRPr="007371CC">
              <w:t>171</w:t>
            </w:r>
          </w:p>
        </w:tc>
        <w:tc>
          <w:tcPr>
            <w:tcW w:w="1659" w:type="dxa"/>
            <w:noWrap/>
            <w:hideMark/>
          </w:tcPr>
          <w:p w14:paraId="16CA053C" w14:textId="77777777" w:rsidR="007371CC" w:rsidRPr="007371CC" w:rsidRDefault="007371CC" w:rsidP="002D0414">
            <w:pPr>
              <w:spacing w:line="240" w:lineRule="auto"/>
            </w:pPr>
            <w:r w:rsidRPr="007371CC">
              <w:t>3</w:t>
            </w:r>
          </w:p>
        </w:tc>
        <w:tc>
          <w:tcPr>
            <w:tcW w:w="2501" w:type="dxa"/>
            <w:noWrap/>
            <w:hideMark/>
          </w:tcPr>
          <w:p w14:paraId="5F3798DD" w14:textId="4F61340B" w:rsidR="007371CC" w:rsidRPr="007371CC" w:rsidRDefault="007371CC" w:rsidP="002D0414">
            <w:pPr>
              <w:spacing w:line="240" w:lineRule="auto"/>
            </w:pPr>
            <w:r w:rsidRPr="007371CC">
              <w:t>Section 17 applies</w:t>
            </w:r>
            <w:r>
              <w:t xml:space="preserve"> *</w:t>
            </w:r>
          </w:p>
        </w:tc>
      </w:tr>
      <w:tr w:rsidR="007371CC" w:rsidRPr="007371CC" w14:paraId="33B62CC0" w14:textId="77777777" w:rsidTr="007371CC">
        <w:trPr>
          <w:trHeight w:val="300"/>
        </w:trPr>
        <w:tc>
          <w:tcPr>
            <w:tcW w:w="880" w:type="dxa"/>
            <w:noWrap/>
            <w:hideMark/>
          </w:tcPr>
          <w:p w14:paraId="03BF39D6" w14:textId="77777777" w:rsidR="007371CC" w:rsidRPr="007371CC" w:rsidRDefault="007371CC" w:rsidP="002D0414">
            <w:pPr>
              <w:spacing w:line="240" w:lineRule="auto"/>
            </w:pPr>
            <w:r w:rsidRPr="007371CC">
              <w:t>2019</w:t>
            </w:r>
          </w:p>
        </w:tc>
        <w:tc>
          <w:tcPr>
            <w:tcW w:w="1667" w:type="dxa"/>
            <w:hideMark/>
          </w:tcPr>
          <w:p w14:paraId="5A1A7C51" w14:textId="77777777" w:rsidR="007371CC" w:rsidRPr="007371CC" w:rsidRDefault="007371CC" w:rsidP="002D0414">
            <w:pPr>
              <w:spacing w:line="240" w:lineRule="auto"/>
            </w:pPr>
            <w:r w:rsidRPr="007371CC">
              <w:t>532</w:t>
            </w:r>
          </w:p>
        </w:tc>
        <w:tc>
          <w:tcPr>
            <w:tcW w:w="2593" w:type="dxa"/>
            <w:noWrap/>
            <w:hideMark/>
          </w:tcPr>
          <w:p w14:paraId="45200465" w14:textId="77777777" w:rsidR="007371CC" w:rsidRPr="007371CC" w:rsidRDefault="007371CC" w:rsidP="002D0414">
            <w:pPr>
              <w:spacing w:line="240" w:lineRule="auto"/>
            </w:pPr>
            <w:r w:rsidRPr="007371CC">
              <w:t>430</w:t>
            </w:r>
          </w:p>
        </w:tc>
        <w:tc>
          <w:tcPr>
            <w:tcW w:w="1659" w:type="dxa"/>
            <w:noWrap/>
            <w:hideMark/>
          </w:tcPr>
          <w:p w14:paraId="78556FC7" w14:textId="77777777" w:rsidR="007371CC" w:rsidRPr="007371CC" w:rsidRDefault="007371CC" w:rsidP="002D0414">
            <w:pPr>
              <w:spacing w:line="240" w:lineRule="auto"/>
            </w:pPr>
            <w:r w:rsidRPr="007371CC">
              <w:t>3</w:t>
            </w:r>
          </w:p>
        </w:tc>
        <w:tc>
          <w:tcPr>
            <w:tcW w:w="2501" w:type="dxa"/>
            <w:noWrap/>
            <w:hideMark/>
          </w:tcPr>
          <w:p w14:paraId="00AE2460" w14:textId="77777777" w:rsidR="007371CC" w:rsidRPr="007371CC" w:rsidRDefault="007371CC" w:rsidP="002D0414">
            <w:pPr>
              <w:spacing w:line="240" w:lineRule="auto"/>
            </w:pPr>
            <w:r w:rsidRPr="007371CC">
              <w:t>2</w:t>
            </w:r>
          </w:p>
        </w:tc>
      </w:tr>
      <w:tr w:rsidR="007371CC" w:rsidRPr="007371CC" w14:paraId="14C3EB80" w14:textId="77777777" w:rsidTr="007371CC">
        <w:trPr>
          <w:trHeight w:val="300"/>
        </w:trPr>
        <w:tc>
          <w:tcPr>
            <w:tcW w:w="880" w:type="dxa"/>
            <w:noWrap/>
            <w:hideMark/>
          </w:tcPr>
          <w:p w14:paraId="6EDF8C3A" w14:textId="77777777" w:rsidR="007371CC" w:rsidRPr="007371CC" w:rsidRDefault="007371CC" w:rsidP="002D0414">
            <w:pPr>
              <w:spacing w:line="240" w:lineRule="auto"/>
            </w:pPr>
            <w:r w:rsidRPr="007371CC">
              <w:t>2020</w:t>
            </w:r>
          </w:p>
        </w:tc>
        <w:tc>
          <w:tcPr>
            <w:tcW w:w="1667" w:type="dxa"/>
            <w:hideMark/>
          </w:tcPr>
          <w:p w14:paraId="1113878B" w14:textId="77777777" w:rsidR="007371CC" w:rsidRPr="007371CC" w:rsidRDefault="007371CC" w:rsidP="002D0414">
            <w:pPr>
              <w:spacing w:line="240" w:lineRule="auto"/>
            </w:pPr>
            <w:r w:rsidRPr="007371CC">
              <w:t>496</w:t>
            </w:r>
          </w:p>
        </w:tc>
        <w:tc>
          <w:tcPr>
            <w:tcW w:w="2593" w:type="dxa"/>
            <w:noWrap/>
            <w:hideMark/>
          </w:tcPr>
          <w:p w14:paraId="3543A21C" w14:textId="77777777" w:rsidR="007371CC" w:rsidRPr="007371CC" w:rsidRDefault="007371CC" w:rsidP="002D0414">
            <w:pPr>
              <w:spacing w:line="240" w:lineRule="auto"/>
            </w:pPr>
            <w:r w:rsidRPr="007371CC">
              <w:t>349</w:t>
            </w:r>
          </w:p>
        </w:tc>
        <w:tc>
          <w:tcPr>
            <w:tcW w:w="1659" w:type="dxa"/>
            <w:noWrap/>
            <w:hideMark/>
          </w:tcPr>
          <w:p w14:paraId="7EAED200" w14:textId="77777777" w:rsidR="007371CC" w:rsidRPr="007371CC" w:rsidRDefault="007371CC" w:rsidP="002D0414">
            <w:pPr>
              <w:spacing w:line="240" w:lineRule="auto"/>
            </w:pPr>
            <w:r w:rsidRPr="007371CC">
              <w:t>1</w:t>
            </w:r>
          </w:p>
        </w:tc>
        <w:tc>
          <w:tcPr>
            <w:tcW w:w="2501" w:type="dxa"/>
            <w:noWrap/>
            <w:hideMark/>
          </w:tcPr>
          <w:p w14:paraId="13BB554B" w14:textId="77777777" w:rsidR="007371CC" w:rsidRPr="007371CC" w:rsidRDefault="007371CC" w:rsidP="002D0414">
            <w:pPr>
              <w:spacing w:line="240" w:lineRule="auto"/>
            </w:pPr>
            <w:r w:rsidRPr="007371CC">
              <w:t>0</w:t>
            </w:r>
          </w:p>
        </w:tc>
      </w:tr>
      <w:tr w:rsidR="007371CC" w:rsidRPr="007371CC" w14:paraId="12580873" w14:textId="77777777" w:rsidTr="007371CC">
        <w:trPr>
          <w:trHeight w:val="300"/>
        </w:trPr>
        <w:tc>
          <w:tcPr>
            <w:tcW w:w="880" w:type="dxa"/>
            <w:noWrap/>
            <w:hideMark/>
          </w:tcPr>
          <w:p w14:paraId="3B2E4B64" w14:textId="77777777" w:rsidR="007371CC" w:rsidRPr="007371CC" w:rsidRDefault="007371CC" w:rsidP="002D0414">
            <w:pPr>
              <w:spacing w:line="240" w:lineRule="auto"/>
            </w:pPr>
            <w:r w:rsidRPr="007371CC">
              <w:t>2021</w:t>
            </w:r>
          </w:p>
        </w:tc>
        <w:tc>
          <w:tcPr>
            <w:tcW w:w="1667" w:type="dxa"/>
            <w:hideMark/>
          </w:tcPr>
          <w:p w14:paraId="7A0F1683" w14:textId="77777777" w:rsidR="007371CC" w:rsidRPr="007371CC" w:rsidRDefault="007371CC" w:rsidP="002D0414">
            <w:pPr>
              <w:spacing w:line="240" w:lineRule="auto"/>
            </w:pPr>
            <w:r w:rsidRPr="007371CC">
              <w:t>588</w:t>
            </w:r>
          </w:p>
        </w:tc>
        <w:tc>
          <w:tcPr>
            <w:tcW w:w="2593" w:type="dxa"/>
            <w:noWrap/>
            <w:hideMark/>
          </w:tcPr>
          <w:p w14:paraId="2FDFA1F7" w14:textId="77777777" w:rsidR="007371CC" w:rsidRPr="007371CC" w:rsidRDefault="007371CC" w:rsidP="002D0414">
            <w:pPr>
              <w:spacing w:line="240" w:lineRule="auto"/>
            </w:pPr>
            <w:r w:rsidRPr="007371CC">
              <w:t>391</w:t>
            </w:r>
          </w:p>
        </w:tc>
        <w:tc>
          <w:tcPr>
            <w:tcW w:w="1659" w:type="dxa"/>
            <w:noWrap/>
            <w:hideMark/>
          </w:tcPr>
          <w:p w14:paraId="31555CAB" w14:textId="77777777" w:rsidR="007371CC" w:rsidRPr="007371CC" w:rsidRDefault="007371CC" w:rsidP="002D0414">
            <w:pPr>
              <w:spacing w:line="240" w:lineRule="auto"/>
            </w:pPr>
            <w:r w:rsidRPr="007371CC">
              <w:t>2</w:t>
            </w:r>
          </w:p>
        </w:tc>
        <w:tc>
          <w:tcPr>
            <w:tcW w:w="2501" w:type="dxa"/>
            <w:noWrap/>
            <w:hideMark/>
          </w:tcPr>
          <w:p w14:paraId="32D0E117" w14:textId="77777777" w:rsidR="007371CC" w:rsidRPr="007371CC" w:rsidRDefault="007371CC" w:rsidP="002D0414">
            <w:pPr>
              <w:spacing w:line="240" w:lineRule="auto"/>
            </w:pPr>
            <w:r w:rsidRPr="007371CC">
              <w:t>1</w:t>
            </w:r>
          </w:p>
        </w:tc>
      </w:tr>
      <w:tr w:rsidR="007371CC" w:rsidRPr="007371CC" w14:paraId="4E0F0C95" w14:textId="77777777" w:rsidTr="007371CC">
        <w:trPr>
          <w:trHeight w:val="300"/>
        </w:trPr>
        <w:tc>
          <w:tcPr>
            <w:tcW w:w="880" w:type="dxa"/>
            <w:noWrap/>
            <w:hideMark/>
          </w:tcPr>
          <w:p w14:paraId="5648D621" w14:textId="77777777" w:rsidR="007371CC" w:rsidRPr="007371CC" w:rsidRDefault="007371CC" w:rsidP="002D0414">
            <w:pPr>
              <w:spacing w:line="240" w:lineRule="auto"/>
            </w:pPr>
            <w:r w:rsidRPr="007371CC">
              <w:lastRenderedPageBreak/>
              <w:t>2022</w:t>
            </w:r>
          </w:p>
        </w:tc>
        <w:tc>
          <w:tcPr>
            <w:tcW w:w="1667" w:type="dxa"/>
            <w:hideMark/>
          </w:tcPr>
          <w:p w14:paraId="434B8C3A" w14:textId="77777777" w:rsidR="007371CC" w:rsidRPr="007371CC" w:rsidRDefault="007371CC" w:rsidP="002D0414">
            <w:pPr>
              <w:spacing w:line="240" w:lineRule="auto"/>
            </w:pPr>
            <w:r w:rsidRPr="007371CC">
              <w:t>616</w:t>
            </w:r>
          </w:p>
        </w:tc>
        <w:tc>
          <w:tcPr>
            <w:tcW w:w="2593" w:type="dxa"/>
            <w:noWrap/>
            <w:hideMark/>
          </w:tcPr>
          <w:p w14:paraId="444F578D" w14:textId="77777777" w:rsidR="007371CC" w:rsidRPr="007371CC" w:rsidRDefault="007371CC" w:rsidP="002D0414">
            <w:pPr>
              <w:spacing w:line="240" w:lineRule="auto"/>
            </w:pPr>
            <w:r w:rsidRPr="007371CC">
              <w:t>433</w:t>
            </w:r>
          </w:p>
        </w:tc>
        <w:tc>
          <w:tcPr>
            <w:tcW w:w="1659" w:type="dxa"/>
            <w:noWrap/>
            <w:hideMark/>
          </w:tcPr>
          <w:p w14:paraId="32DE84D4" w14:textId="77777777" w:rsidR="007371CC" w:rsidRPr="007371CC" w:rsidRDefault="007371CC" w:rsidP="002D0414">
            <w:pPr>
              <w:spacing w:line="240" w:lineRule="auto"/>
            </w:pPr>
            <w:r w:rsidRPr="007371CC">
              <w:t>0</w:t>
            </w:r>
          </w:p>
        </w:tc>
        <w:tc>
          <w:tcPr>
            <w:tcW w:w="2501" w:type="dxa"/>
            <w:noWrap/>
            <w:hideMark/>
          </w:tcPr>
          <w:p w14:paraId="1D9A933B" w14:textId="77777777" w:rsidR="007371CC" w:rsidRPr="007371CC" w:rsidRDefault="007371CC" w:rsidP="002D0414">
            <w:pPr>
              <w:spacing w:line="240" w:lineRule="auto"/>
            </w:pPr>
            <w:r w:rsidRPr="007371CC">
              <w:t>0</w:t>
            </w:r>
          </w:p>
        </w:tc>
      </w:tr>
      <w:tr w:rsidR="007371CC" w:rsidRPr="007371CC" w14:paraId="72C10EDB" w14:textId="77777777" w:rsidTr="007371CC">
        <w:trPr>
          <w:trHeight w:val="300"/>
        </w:trPr>
        <w:tc>
          <w:tcPr>
            <w:tcW w:w="880" w:type="dxa"/>
            <w:noWrap/>
            <w:hideMark/>
          </w:tcPr>
          <w:p w14:paraId="32629B47" w14:textId="77777777" w:rsidR="007371CC" w:rsidRPr="007371CC" w:rsidRDefault="007371CC" w:rsidP="002D0414">
            <w:pPr>
              <w:spacing w:line="240" w:lineRule="auto"/>
            </w:pPr>
            <w:r w:rsidRPr="007371CC">
              <w:t>2023</w:t>
            </w:r>
          </w:p>
        </w:tc>
        <w:tc>
          <w:tcPr>
            <w:tcW w:w="1667" w:type="dxa"/>
            <w:hideMark/>
          </w:tcPr>
          <w:p w14:paraId="0BEBC2E5" w14:textId="77777777" w:rsidR="007371CC" w:rsidRPr="007371CC" w:rsidRDefault="007371CC" w:rsidP="002D0414">
            <w:pPr>
              <w:spacing w:line="240" w:lineRule="auto"/>
            </w:pPr>
            <w:r w:rsidRPr="007371CC">
              <w:t>653</w:t>
            </w:r>
          </w:p>
        </w:tc>
        <w:tc>
          <w:tcPr>
            <w:tcW w:w="2593" w:type="dxa"/>
            <w:noWrap/>
            <w:hideMark/>
          </w:tcPr>
          <w:p w14:paraId="6EA08555" w14:textId="77777777" w:rsidR="007371CC" w:rsidRPr="007371CC" w:rsidRDefault="007371CC" w:rsidP="002D0414">
            <w:pPr>
              <w:spacing w:line="240" w:lineRule="auto"/>
            </w:pPr>
            <w:r w:rsidRPr="007371CC">
              <w:t>419</w:t>
            </w:r>
          </w:p>
        </w:tc>
        <w:tc>
          <w:tcPr>
            <w:tcW w:w="1659" w:type="dxa"/>
            <w:noWrap/>
            <w:hideMark/>
          </w:tcPr>
          <w:p w14:paraId="1F280C49" w14:textId="77777777" w:rsidR="007371CC" w:rsidRPr="007371CC" w:rsidRDefault="007371CC" w:rsidP="002D0414">
            <w:pPr>
              <w:spacing w:line="240" w:lineRule="auto"/>
            </w:pPr>
            <w:r w:rsidRPr="007371CC">
              <w:t>1</w:t>
            </w:r>
          </w:p>
        </w:tc>
        <w:tc>
          <w:tcPr>
            <w:tcW w:w="2501" w:type="dxa"/>
            <w:noWrap/>
            <w:hideMark/>
          </w:tcPr>
          <w:p w14:paraId="5E6C107A" w14:textId="77777777" w:rsidR="007371CC" w:rsidRPr="007371CC" w:rsidRDefault="007371CC" w:rsidP="002D0414">
            <w:pPr>
              <w:spacing w:line="240" w:lineRule="auto"/>
            </w:pPr>
            <w:r w:rsidRPr="007371CC">
              <w:t>1</w:t>
            </w:r>
          </w:p>
        </w:tc>
      </w:tr>
      <w:tr w:rsidR="007371CC" w:rsidRPr="007371CC" w14:paraId="4EB1A10D" w14:textId="77777777" w:rsidTr="007371CC">
        <w:trPr>
          <w:trHeight w:val="300"/>
        </w:trPr>
        <w:tc>
          <w:tcPr>
            <w:tcW w:w="880" w:type="dxa"/>
            <w:noWrap/>
            <w:hideMark/>
          </w:tcPr>
          <w:p w14:paraId="7363CF08" w14:textId="77777777" w:rsidR="007371CC" w:rsidRPr="007371CC" w:rsidRDefault="007371CC" w:rsidP="002D0414">
            <w:pPr>
              <w:spacing w:line="240" w:lineRule="auto"/>
            </w:pPr>
            <w:r w:rsidRPr="007371CC">
              <w:t>2024</w:t>
            </w:r>
          </w:p>
        </w:tc>
        <w:tc>
          <w:tcPr>
            <w:tcW w:w="1667" w:type="dxa"/>
            <w:hideMark/>
          </w:tcPr>
          <w:p w14:paraId="570A6043" w14:textId="77777777" w:rsidR="007371CC" w:rsidRPr="007371CC" w:rsidRDefault="007371CC" w:rsidP="002D0414">
            <w:pPr>
              <w:spacing w:line="240" w:lineRule="auto"/>
            </w:pPr>
            <w:r w:rsidRPr="007371CC">
              <w:t>625</w:t>
            </w:r>
          </w:p>
        </w:tc>
        <w:tc>
          <w:tcPr>
            <w:tcW w:w="2593" w:type="dxa"/>
            <w:noWrap/>
            <w:hideMark/>
          </w:tcPr>
          <w:p w14:paraId="441BDC02" w14:textId="77777777" w:rsidR="007371CC" w:rsidRPr="007371CC" w:rsidRDefault="007371CC" w:rsidP="002D0414">
            <w:pPr>
              <w:spacing w:line="240" w:lineRule="auto"/>
            </w:pPr>
            <w:r w:rsidRPr="007371CC">
              <w:t>388</w:t>
            </w:r>
          </w:p>
        </w:tc>
        <w:tc>
          <w:tcPr>
            <w:tcW w:w="1659" w:type="dxa"/>
            <w:noWrap/>
            <w:hideMark/>
          </w:tcPr>
          <w:p w14:paraId="7BD40141" w14:textId="77777777" w:rsidR="007371CC" w:rsidRPr="007371CC" w:rsidRDefault="007371CC" w:rsidP="002D0414">
            <w:pPr>
              <w:spacing w:line="240" w:lineRule="auto"/>
            </w:pPr>
            <w:r w:rsidRPr="007371CC">
              <w:t>0</w:t>
            </w:r>
          </w:p>
        </w:tc>
        <w:tc>
          <w:tcPr>
            <w:tcW w:w="2501" w:type="dxa"/>
            <w:noWrap/>
            <w:hideMark/>
          </w:tcPr>
          <w:p w14:paraId="0F41143A" w14:textId="77777777" w:rsidR="007371CC" w:rsidRPr="007371CC" w:rsidRDefault="007371CC" w:rsidP="002D0414">
            <w:pPr>
              <w:spacing w:line="240" w:lineRule="auto"/>
            </w:pPr>
            <w:r w:rsidRPr="007371CC">
              <w:t>0</w:t>
            </w:r>
          </w:p>
        </w:tc>
      </w:tr>
    </w:tbl>
    <w:p w14:paraId="6DFD631B" w14:textId="0F9F6D4E" w:rsidR="003F2BCB" w:rsidRPr="003F2BCB" w:rsidRDefault="003F2BCB" w:rsidP="00D6014C">
      <w:r w:rsidRPr="003F2BCB">
        <w:t>The information provided was correct at 16</w:t>
      </w:r>
      <w:r w:rsidRPr="003F2BCB">
        <w:rPr>
          <w:vertAlign w:val="superscript"/>
        </w:rPr>
        <w:t>th</w:t>
      </w:r>
      <w:r w:rsidRPr="003F2BCB">
        <w:t xml:space="preserve"> October 2024</w:t>
      </w:r>
    </w:p>
    <w:p w14:paraId="1745E28E" w14:textId="55F697AB" w:rsidR="003F2BCB" w:rsidRPr="007371CC" w:rsidRDefault="003F2BCB" w:rsidP="003F2BCB">
      <w:pPr>
        <w:rPr>
          <w:rStyle w:val="apple-tab-span"/>
        </w:rPr>
      </w:pPr>
      <w:r>
        <w:t>*</w:t>
      </w:r>
      <w:r w:rsidR="002D0414">
        <w:t xml:space="preserve"> </w:t>
      </w:r>
      <w:r w:rsidR="007371CC" w:rsidRPr="007371CC">
        <w:t>As the</w:t>
      </w:r>
      <w:r w:rsidR="007371CC">
        <w:t xml:space="preserve"> ICO</w:t>
      </w:r>
      <w:r w:rsidR="007371CC" w:rsidRPr="007371CC">
        <w:t xml:space="preserve"> timeframe information was not recorded </w:t>
      </w:r>
      <w:r w:rsidR="00D6014C" w:rsidRPr="007371CC">
        <w:t>prior to 2019</w:t>
      </w:r>
      <w:r w:rsidR="002D0414">
        <w:t>.</w:t>
      </w:r>
      <w:r w:rsidR="007371CC" w:rsidRPr="007371CC">
        <w:t xml:space="preserve"> </w:t>
      </w:r>
      <w:r w:rsidR="007371CC" w:rsidRPr="007371CC">
        <w:rPr>
          <w:rStyle w:val="apple-tab-span"/>
        </w:rPr>
        <w:t>section 17 of the Act applies and I can confirm that the information sought is not held by Police Scotland.</w:t>
      </w:r>
    </w:p>
    <w:p w14:paraId="65F9209F" w14:textId="77777777" w:rsidR="000429B1" w:rsidRDefault="000429B1" w:rsidP="00685365"/>
    <w:p w14:paraId="3ABD0AD9" w14:textId="1EF08E0D" w:rsidR="00685365" w:rsidRDefault="007371CC" w:rsidP="00685365">
      <w:r w:rsidRPr="003F2BCB">
        <w:t xml:space="preserve">Turning to </w:t>
      </w:r>
      <w:r w:rsidR="003F2BCB" w:rsidRPr="003F2BCB">
        <w:t>1</w:t>
      </w:r>
      <w:r w:rsidRPr="003F2BCB">
        <w:t>b)</w:t>
      </w:r>
      <w:r w:rsidR="002D0414">
        <w:t>,</w:t>
      </w:r>
      <w:r w:rsidRPr="003F2BCB">
        <w:t xml:space="preserve"> ‘if possible, the department involved’</w:t>
      </w:r>
      <w:r w:rsidR="002D0414">
        <w:t>,</w:t>
      </w:r>
      <w:r w:rsidRPr="003F2BCB">
        <w:t xml:space="preserve"> </w:t>
      </w:r>
      <w:r w:rsidR="00AD75EC" w:rsidRPr="003F2BCB">
        <w:t xml:space="preserve">I must advise you that </w:t>
      </w:r>
      <w:r w:rsidR="00AD75EC">
        <w:t>the information sought is held by Police Scotland, but I am refusing to provide it in terms of s</w:t>
      </w:r>
      <w:r w:rsidR="00AD75EC" w:rsidRPr="00453F0A">
        <w:t>ection 16</w:t>
      </w:r>
      <w:r w:rsidR="00AD75EC">
        <w:t xml:space="preserve">(1) of the Act on the basis that </w:t>
      </w:r>
      <w:r w:rsidR="00685365">
        <w:t xml:space="preserve">the following </w:t>
      </w:r>
      <w:r w:rsidR="00AD75EC">
        <w:t>exemption</w:t>
      </w:r>
      <w:r w:rsidR="00685365">
        <w:t>s apply;</w:t>
      </w:r>
    </w:p>
    <w:p w14:paraId="37DC98D0" w14:textId="77777777" w:rsidR="002C71EF" w:rsidRDefault="00685365" w:rsidP="00685365">
      <w:r w:rsidRPr="00685365">
        <w:rPr>
          <w:b/>
        </w:rPr>
        <w:t>Section 35(1)(a)&amp;(b) - Law Enforcement.</w:t>
      </w:r>
      <w:r w:rsidRPr="00685365">
        <w:t xml:space="preserve">  </w:t>
      </w:r>
    </w:p>
    <w:p w14:paraId="58C1168C" w14:textId="254CE08B" w:rsidR="00685365" w:rsidRPr="00685365" w:rsidRDefault="002C71EF" w:rsidP="00685365">
      <w:r>
        <w:t xml:space="preserve">Where </w:t>
      </w:r>
      <w:r w:rsidR="00685365" w:rsidRPr="00685365">
        <w:t xml:space="preserve">disclosure would enable those engaged in criminal activity to identify </w:t>
      </w:r>
      <w:r>
        <w:t>potential</w:t>
      </w:r>
      <w:r w:rsidR="00685365" w:rsidRPr="00685365">
        <w:t xml:space="preserve"> areas of weakness in the service.</w:t>
      </w:r>
    </w:p>
    <w:p w14:paraId="1F30DE93" w14:textId="77777777" w:rsidR="002C71EF" w:rsidRDefault="00685365" w:rsidP="00685365">
      <w:r w:rsidRPr="00685365">
        <w:rPr>
          <w:b/>
        </w:rPr>
        <w:t>Section 39(1) - Health, Safety and the Environment.</w:t>
      </w:r>
      <w:r w:rsidRPr="00685365">
        <w:t xml:space="preserve">  </w:t>
      </w:r>
    </w:p>
    <w:p w14:paraId="0A81724F" w14:textId="30D76D05" w:rsidR="00685365" w:rsidRPr="006E21FB" w:rsidRDefault="00685365" w:rsidP="002C71EF">
      <w:r w:rsidRPr="00685365">
        <w:rPr>
          <w:bCs/>
        </w:rPr>
        <w:t xml:space="preserve">Police Scotland has a duty of care to its staff and in particular to those officers who specifically work within the areas concerned.  </w:t>
      </w:r>
    </w:p>
    <w:p w14:paraId="72B7346D" w14:textId="77777777" w:rsidR="00685365" w:rsidRDefault="00AD75EC" w:rsidP="00685365">
      <w:r>
        <w:t xml:space="preserve">To </w:t>
      </w:r>
      <w:r w:rsidR="003F2BCB" w:rsidRPr="003F2BCB">
        <w:t xml:space="preserve">identify </w:t>
      </w:r>
      <w:r w:rsidR="00844890">
        <w:t xml:space="preserve">the number of breaches in </w:t>
      </w:r>
      <w:r w:rsidR="003F2BCB" w:rsidRPr="003F2BCB">
        <w:t>specific business areas</w:t>
      </w:r>
      <w:r w:rsidR="003F2BCB">
        <w:t xml:space="preserve"> </w:t>
      </w:r>
      <w:r w:rsidR="00476421">
        <w:t>may</w:t>
      </w:r>
      <w:r w:rsidR="00844890">
        <w:t xml:space="preserve"> provide </w:t>
      </w:r>
      <w:r w:rsidR="00A41E90">
        <w:t xml:space="preserve">simplistic and </w:t>
      </w:r>
      <w:r w:rsidR="00844890">
        <w:t>negative comparisons across the service, a</w:t>
      </w:r>
      <w:r w:rsidR="00A41E90">
        <w:t xml:space="preserve">nd potentially </w:t>
      </w:r>
      <w:r w:rsidR="00844890">
        <w:t xml:space="preserve">discourage officers and staff to report any such incidents. </w:t>
      </w:r>
    </w:p>
    <w:p w14:paraId="7CFA8CC0" w14:textId="77777777" w:rsidR="00685365" w:rsidRDefault="00685365" w:rsidP="00685365">
      <w:r>
        <w:t xml:space="preserve">Any such disclosure may also highlight business areas which are perceived in being more susceptible to breaches.  </w:t>
      </w:r>
    </w:p>
    <w:p w14:paraId="53067728" w14:textId="29F6D29D" w:rsidR="003F2BCB" w:rsidRDefault="00844890" w:rsidP="00685365">
      <w:r>
        <w:t>It is essential to report breaches of information security and losses of police information as soon as they are identified to enable the risks to be assessed and a recovery plan to be put in place.</w:t>
      </w:r>
    </w:p>
    <w:p w14:paraId="494A8948" w14:textId="5B4E0740" w:rsidR="00B52524" w:rsidRDefault="00B52524" w:rsidP="00685365">
      <w:r>
        <w:t>In terms of public interest, scrutiny is already provided by t</w:t>
      </w:r>
      <w:r w:rsidR="002C71EF">
        <w:t>he Information Commissioner (ICO)</w:t>
      </w:r>
      <w:r>
        <w:t xml:space="preserve"> who</w:t>
      </w:r>
      <w:r w:rsidR="002C71EF">
        <w:t xml:space="preserve"> is the sole regulatory body in Scotland</w:t>
      </w:r>
      <w:r>
        <w:t>.  Our information rights obligations are overseen by this organisation through</w:t>
      </w:r>
      <w:r w:rsidR="002C71EF">
        <w:t xml:space="preserve"> promoting good practice</w:t>
      </w:r>
      <w:r>
        <w:t xml:space="preserve"> and policy guidance for all matters relating to </w:t>
      </w:r>
      <w:r w:rsidR="002C71EF">
        <w:t xml:space="preserve">data protection. </w:t>
      </w:r>
    </w:p>
    <w:p w14:paraId="4B63C4CF" w14:textId="0D863A54" w:rsidR="000429B1" w:rsidRDefault="002C71EF" w:rsidP="00685365">
      <w:r>
        <w:lastRenderedPageBreak/>
        <w:t xml:space="preserve">I have been unable to identify any </w:t>
      </w:r>
      <w:r w:rsidR="00B52524">
        <w:t xml:space="preserve">corresponding </w:t>
      </w:r>
      <w:r>
        <w:t>public interest in the disclosure of this level of detail</w:t>
      </w:r>
      <w:r w:rsidR="00B52524">
        <w:t xml:space="preserve"> and accordingly the exemptions are applied.</w:t>
      </w:r>
    </w:p>
    <w:p w14:paraId="1414F7E2" w14:textId="6F4EF11B" w:rsidR="00B52524" w:rsidRDefault="003F2BCB" w:rsidP="00685365">
      <w:r w:rsidRPr="003F2BCB">
        <w:t xml:space="preserve">In terms of 1c) I can advise you that this level of detail is not easily </w:t>
      </w:r>
      <w:r w:rsidR="002D0414" w:rsidRPr="003F2BCB">
        <w:t>retrievable,</w:t>
      </w:r>
      <w:r w:rsidRPr="003F2BCB">
        <w:t xml:space="preserve"> and I am unable to provide exact data requested as it would require the individual assessment of all 2581 records to ascertain the number of individuals involved.  </w:t>
      </w:r>
    </w:p>
    <w:p w14:paraId="7D05E8C4" w14:textId="7412E62B" w:rsidR="003F2BCB" w:rsidRDefault="003F2BCB" w:rsidP="00685365">
      <w:r w:rsidRPr="003F2BCB">
        <w:t>Unfortunately, I therefore estimate that it would cost well in excess of the current FOI cost threshold of £600 to process your request. I am therefore refusing to provide the information sought in terms of section 12(1) - Excessive Cost of Compliance.</w:t>
      </w:r>
    </w:p>
    <w:p w14:paraId="1BC84627" w14:textId="77777777" w:rsidR="003F2BCB" w:rsidRPr="003F2BCB" w:rsidRDefault="003F2BCB" w:rsidP="003F2BCB"/>
    <w:p w14:paraId="0191E97C" w14:textId="7178656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0414">
        <w:t>,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BFEBC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AA9E5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6D6F1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EB2C4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51C456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4F24DA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0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8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9"/>
  </w:num>
  <w:num w:numId="12" w16cid:durableId="19006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9B1"/>
    <w:rsid w:val="000632A2"/>
    <w:rsid w:val="00090F3B"/>
    <w:rsid w:val="000A552B"/>
    <w:rsid w:val="000E6526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2C71EF"/>
    <w:rsid w:val="002D0414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0301"/>
    <w:rsid w:val="00557306"/>
    <w:rsid w:val="005816D1"/>
    <w:rsid w:val="005C0D87"/>
    <w:rsid w:val="005E6A4B"/>
    <w:rsid w:val="005E74B3"/>
    <w:rsid w:val="00663826"/>
    <w:rsid w:val="00671EA8"/>
    <w:rsid w:val="00685365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A25E93"/>
    <w:rsid w:val="00A320FF"/>
    <w:rsid w:val="00A368C2"/>
    <w:rsid w:val="00A41E90"/>
    <w:rsid w:val="00A648A5"/>
    <w:rsid w:val="00A67541"/>
    <w:rsid w:val="00A70AC0"/>
    <w:rsid w:val="00AC443C"/>
    <w:rsid w:val="00AD75EC"/>
    <w:rsid w:val="00B11A55"/>
    <w:rsid w:val="00B17211"/>
    <w:rsid w:val="00B239DF"/>
    <w:rsid w:val="00B461B2"/>
    <w:rsid w:val="00B52524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8/12/contents/enacte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763</Words>
  <Characters>4354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2024-10-21T15:13:00Z</cp:lastPrinted>
  <dcterms:created xsi:type="dcterms:W3CDTF">2024-10-17T16:56:00Z</dcterms:created>
  <dcterms:modified xsi:type="dcterms:W3CDTF">2024-10-21T15:14:00Z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