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5826DDD6" w:rsidR="0011137F" w:rsidRDefault="00B17211" w:rsidP="0011137F">
            <w:r w:rsidRPr="007F490F">
              <w:rPr>
                <w:rStyle w:val="Heading2Char"/>
              </w:rPr>
              <w:t>Our reference:</w:t>
            </w:r>
            <w:r>
              <w:t xml:space="preserve">  FOI 2</w:t>
            </w:r>
            <w:r w:rsidR="00706E8D">
              <w:t>4</w:t>
            </w:r>
            <w:r w:rsidR="00184E84">
              <w:t>-</w:t>
            </w:r>
            <w:r w:rsidR="006B0CD5">
              <w:t>2630</w:t>
            </w:r>
          </w:p>
          <w:p w14:paraId="5BEC4C5F" w14:textId="2730355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6B7DCB">
              <w:t xml:space="preserve">November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CEE84E4" w14:textId="786B9A52" w:rsidR="006B0CD5" w:rsidRDefault="00542622" w:rsidP="006B0CD5">
      <w:pPr>
        <w:rPr>
          <w:rFonts w:eastAsia="Times New Roman"/>
          <w:b/>
          <w:bCs/>
          <w:color w:val="000000"/>
        </w:rPr>
      </w:pPr>
      <w:r>
        <w:rPr>
          <w:rFonts w:eastAsia="Times New Roman"/>
          <w:b/>
          <w:bCs/>
          <w:color w:val="000000"/>
        </w:rPr>
        <w:t>Please provide c</w:t>
      </w:r>
      <w:r w:rsidR="006B0CD5" w:rsidRPr="006B0CD5">
        <w:rPr>
          <w:rFonts w:eastAsia="Times New Roman"/>
          <w:b/>
          <w:bCs/>
          <w:color w:val="000000"/>
        </w:rPr>
        <w:t>onfirmation of whether or not Police Scotland has a recording system that allows Police Officers to document a complaint or concerns about something they’ve experienced or witnessed relating to their job. For example both the NHS and the Scottish Ambulance System have a Datix system which allows staff to record issues, incidents and concerns.</w:t>
      </w:r>
    </w:p>
    <w:p w14:paraId="6321F1D2" w14:textId="77777777" w:rsidR="00542622" w:rsidRDefault="00542622" w:rsidP="00542622">
      <w:pPr>
        <w:rPr>
          <w:rFonts w:eastAsia="Times New Roman"/>
          <w:b/>
          <w:bCs/>
          <w:color w:val="000000"/>
        </w:rPr>
      </w:pPr>
      <w:r w:rsidRPr="006B0CD5">
        <w:rPr>
          <w:rFonts w:eastAsia="Times New Roman"/>
          <w:b/>
          <w:bCs/>
          <w:color w:val="000000"/>
        </w:rPr>
        <w:t>If such a system exists, please list all the categories of incidents the system records (for example, the Scottish Ambulance Service records incidents that relate to equipment failure, patient safety, staffing issues etc).</w:t>
      </w:r>
      <w:r w:rsidRPr="006B0CD5">
        <w:rPr>
          <w:rFonts w:eastAsia="Times New Roman"/>
          <w:b/>
          <w:bCs/>
          <w:color w:val="000000"/>
        </w:rPr>
        <w:br/>
      </w:r>
    </w:p>
    <w:p w14:paraId="0F40E6FD" w14:textId="4C187379" w:rsidR="00542622" w:rsidRPr="00542622" w:rsidRDefault="00542622" w:rsidP="00542622">
      <w:r w:rsidRPr="00542622">
        <w:t>I can confirm that Police Scotland does not have a directly comparable system to Datix</w:t>
      </w:r>
      <w:bookmarkStart w:id="0" w:name="_Hlk180146925"/>
      <w:r w:rsidRPr="00542622">
        <w:t xml:space="preserve"> </w:t>
      </w:r>
      <w:r w:rsidRPr="00542622">
        <w:rPr>
          <w:rStyle w:val="apple-tab-span"/>
        </w:rPr>
        <w:t xml:space="preserve">and on that basis section 17 of the Act applies </w:t>
      </w:r>
      <w:r>
        <w:rPr>
          <w:rStyle w:val="apple-tab-span"/>
        </w:rPr>
        <w:t xml:space="preserve">as </w:t>
      </w:r>
      <w:r w:rsidRPr="00542622">
        <w:rPr>
          <w:rStyle w:val="apple-tab-span"/>
        </w:rPr>
        <w:t>the information sought is not held by Police Scotland.</w:t>
      </w:r>
      <w:bookmarkEnd w:id="0"/>
    </w:p>
    <w:p w14:paraId="1EFD9F49" w14:textId="530803B6" w:rsidR="00542622" w:rsidRPr="00542622" w:rsidRDefault="00542622" w:rsidP="00542622">
      <w:pPr>
        <w:rPr>
          <w:rFonts w:eastAsia="Times New Roman"/>
          <w:b/>
          <w:bCs/>
          <w:color w:val="000000"/>
        </w:rPr>
      </w:pPr>
      <w:r>
        <w:t>Notwithstanding the response above, there are a range of reporting mechanisms in place for officers and staff across all of the relevant business areas.</w:t>
      </w:r>
    </w:p>
    <w:p w14:paraId="386C3DD2" w14:textId="1F1208DB" w:rsidR="00542622" w:rsidRDefault="00542622" w:rsidP="00542622">
      <w:r>
        <w:t>For example, reports of wrongdoing can be reported to Line Managers, Department Heads, Professional Standards Department and via Police Scotland’s online confidential reporting system, via Crimestoppers or via the Police Anti-Corruption and Abuse Reporting Service.  The foregoing reports are directed to PSoS National Gateway Assessment Unit and Grievance matters are directed to PSoS People &amp; Development.</w:t>
      </w:r>
    </w:p>
    <w:p w14:paraId="1E678FFD" w14:textId="692C4EF7" w:rsidR="00C57DA8" w:rsidRDefault="00C57DA8" w:rsidP="00C57DA8">
      <w:r>
        <w:t xml:space="preserve">In terms of </w:t>
      </w:r>
      <w:r w:rsidR="00D7589B">
        <w:t>Contact, Command &amp; Control Division (</w:t>
      </w:r>
      <w:r>
        <w:t>C3</w:t>
      </w:r>
      <w:r w:rsidR="00D7589B">
        <w:t>)</w:t>
      </w:r>
      <w:r>
        <w:t xml:space="preserve">, </w:t>
      </w:r>
      <w:r>
        <w:rPr>
          <w:rFonts w:ascii="Segoe UI" w:hAnsi="Segoe UI" w:cs="Segoe UI"/>
        </w:rPr>
        <w:t>​</w:t>
      </w:r>
      <w:r>
        <w:t xml:space="preserve">the Notable Incident process is designed to identify good practice and highlight areas for improvement. The process focusses on organisational learning, not blame, and aims to ensure the service delivered by C3 is consistent, robust and open to scrutiny. A Notable Incident is defined as: any incident or event where the effectiveness of the C3 Division response is likely to have a significant impact on the reputation of the Division, Police Scotland or our partners – and </w:t>
      </w:r>
      <w:r>
        <w:lastRenderedPageBreak/>
        <w:t xml:space="preserve">which leaning could potentially be obtained as a result of the manner in which it was dealt with. </w:t>
      </w:r>
    </w:p>
    <w:p w14:paraId="08918AE5" w14:textId="77777777" w:rsidR="00C57DA8" w:rsidRPr="00C57DA8" w:rsidRDefault="00C57DA8" w:rsidP="00C57DA8">
      <w:r>
        <w:rPr>
          <w:lang w:eastAsia="en-GB"/>
        </w:rPr>
        <w:t>The process ensures a consistent approach is taken in the identification and investigation of notable incidents so that learning is captured and acted upon to prevent repetition.</w:t>
      </w:r>
      <w:r>
        <w:rPr>
          <w:rFonts w:ascii="Segoe UI" w:hAnsi="Segoe UI" w:cs="Segoe UI"/>
          <w:lang w:eastAsia="en-GB"/>
        </w:rPr>
        <w:t xml:space="preserve"> </w:t>
      </w:r>
      <w:r w:rsidRPr="00C57DA8">
        <w:t>This can include positive notable incidents where the actions taken identify best practice.</w:t>
      </w:r>
    </w:p>
    <w:p w14:paraId="291528C4" w14:textId="54C9B734" w:rsidR="00D7589B" w:rsidRPr="00D7589B" w:rsidRDefault="00D7589B" w:rsidP="00D7589B">
      <w:pPr>
        <w:rPr>
          <w:lang w:eastAsia="en-GB"/>
        </w:rPr>
      </w:pPr>
      <w:r w:rsidRPr="00D7589B">
        <w:t xml:space="preserve">Accidents and Near Misses are recorded via SCoPE to ensure that staff wellbeing is maintained and to ensure that we comply with our legislative responsibilities. </w:t>
      </w:r>
      <w:r w:rsidRPr="00D7589B">
        <w:rPr>
          <w:lang w:eastAsia="en-GB"/>
        </w:rPr>
        <w:t>They are recorded for statistics that are discussed at Divisional, Area and Board meetings. Significant individual incidents and any patterns, e.g. an increase in the number of officers injured during arrest, are discussed. The main intentions are to prevent avoidable ones from happening, to minimise the number of injuries and ensure that any officers who are injured receive appropriate treatment.</w:t>
      </w:r>
    </w:p>
    <w:p w14:paraId="188C1591" w14:textId="1A2DB33E" w:rsidR="00D7589B" w:rsidRPr="00D7589B" w:rsidRDefault="00D7589B" w:rsidP="00D7589B">
      <w:pPr>
        <w:rPr>
          <w:lang w:eastAsia="en-GB"/>
        </w:rPr>
      </w:pPr>
      <w:r w:rsidRPr="00D7589B">
        <w:rPr>
          <w:lang w:eastAsia="en-GB"/>
        </w:rPr>
        <w:t xml:space="preserve">Certain incidents must also be reported to a body called RIDDOR who gather the statistics for the UK and pass on details to enforcement bodies for investigation if appropriate. The most common type for Police Scotland is over </w:t>
      </w:r>
      <w:r w:rsidR="00B575B9">
        <w:rPr>
          <w:lang w:eastAsia="en-GB"/>
        </w:rPr>
        <w:t>seven</w:t>
      </w:r>
      <w:r w:rsidRPr="00D7589B">
        <w:rPr>
          <w:lang w:eastAsia="en-GB"/>
        </w:rPr>
        <w:t xml:space="preserve"> day injuries, injuries which cause </w:t>
      </w:r>
      <w:r w:rsidR="00B575B9">
        <w:rPr>
          <w:lang w:eastAsia="en-GB"/>
        </w:rPr>
        <w:t>seven</w:t>
      </w:r>
      <w:r w:rsidRPr="00D7589B">
        <w:rPr>
          <w:lang w:eastAsia="en-GB"/>
        </w:rPr>
        <w:t xml:space="preserve"> or more days absence from duty, but others are fractures (not fingers or toes) and loss of consciousness. </w:t>
      </w:r>
      <w:r w:rsidRPr="00D7589B">
        <w:t>It is a legal duty to report these</w:t>
      </w:r>
      <w:r w:rsidRPr="00D7589B">
        <w:rPr>
          <w:lang w:eastAsia="en-GB"/>
        </w:rPr>
        <w:t xml:space="preserve">. </w:t>
      </w:r>
    </w:p>
    <w:p w14:paraId="324B6518" w14:textId="77777777" w:rsidR="004415E6" w:rsidRDefault="006B0CD5" w:rsidP="004415E6">
      <w:pPr>
        <w:rPr>
          <w:rFonts w:eastAsia="Times New Roman"/>
          <w:b/>
          <w:bCs/>
        </w:rPr>
      </w:pPr>
      <w:r w:rsidRPr="006B0CD5">
        <w:rPr>
          <w:rFonts w:eastAsia="Times New Roman"/>
          <w:b/>
          <w:bCs/>
        </w:rPr>
        <w:br/>
      </w:r>
      <w:r w:rsidR="00542622">
        <w:rPr>
          <w:rFonts w:eastAsia="Times New Roman"/>
          <w:b/>
          <w:bCs/>
        </w:rPr>
        <w:t xml:space="preserve">Please provide a </w:t>
      </w:r>
      <w:r w:rsidRPr="006B0CD5">
        <w:rPr>
          <w:rFonts w:eastAsia="Times New Roman"/>
          <w:b/>
          <w:bCs/>
        </w:rPr>
        <w:t>tabled breakdown of the number of times each category of issue or incident (that you’ve listed in request 2) that was recorded broken down by the last six financial years (2019/20, 2020/21, 2021/22, 2022/23. 2023/24 and 2024/25) or calendar years (2019, 2020, 2021, 2022, 2023, 2024)</w:t>
      </w:r>
    </w:p>
    <w:p w14:paraId="3C677522" w14:textId="2546965E" w:rsidR="004415E6" w:rsidRDefault="004415E6" w:rsidP="004415E6">
      <w:r w:rsidRPr="004415E6">
        <w:rPr>
          <w:rFonts w:eastAsia="Times New Roman"/>
        </w:rPr>
        <w:t>On the basis of the responses above it is clear that I am unable to provide a full and accurate response to this request for information where it is not held.</w:t>
      </w:r>
      <w:r w:rsidR="006B0CD5" w:rsidRPr="004415E6">
        <w:rPr>
          <w:rFonts w:eastAsia="Times New Roman"/>
        </w:rPr>
        <w:br/>
      </w:r>
      <w:r>
        <w:t xml:space="preserve">Moreover, </w:t>
      </w:r>
      <w:r w:rsidR="004A59F9">
        <w:t xml:space="preserve">even </w:t>
      </w:r>
      <w:r>
        <w:t>turning</w:t>
      </w:r>
      <w:r w:rsidR="00D7589B">
        <w:t xml:space="preserve"> </w:t>
      </w:r>
      <w:r>
        <w:t>solely to the</w:t>
      </w:r>
      <w:r w:rsidR="00D7589B">
        <w:t xml:space="preserve"> ‘Near Miss’ </w:t>
      </w:r>
      <w:r>
        <w:t>category described above</w:t>
      </w:r>
      <w:r w:rsidR="00D7589B">
        <w:t xml:space="preserv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67E8AA3" w14:textId="798C9B14" w:rsidR="004A59F9" w:rsidRDefault="004415E6" w:rsidP="004A59F9">
      <w:pPr>
        <w:rPr>
          <w:color w:val="000000"/>
          <w:lang w:eastAsia="en-GB"/>
        </w:rPr>
      </w:pPr>
      <w:r>
        <w:t>By way of explanation,</w:t>
      </w:r>
      <w:r w:rsidR="004A59F9" w:rsidRPr="004A59F9">
        <w:rPr>
          <w:color w:val="000000"/>
          <w:lang w:eastAsia="en-GB"/>
        </w:rPr>
        <w:t xml:space="preserve"> </w:t>
      </w:r>
      <w:r w:rsidR="004A59F9">
        <w:rPr>
          <w:color w:val="000000"/>
          <w:lang w:eastAsia="en-GB"/>
        </w:rPr>
        <w:t xml:space="preserve">to provide an accurate response all the entries in the table would require a manual check, equating to 7,000+ records. </w:t>
      </w:r>
    </w:p>
    <w:p w14:paraId="4D65787B" w14:textId="77777777" w:rsidR="004A59F9" w:rsidRDefault="004A59F9" w:rsidP="004A59F9">
      <w:pPr>
        <w:rPr>
          <w:color w:val="000000"/>
          <w:lang w:eastAsia="en-GB"/>
        </w:rPr>
      </w:pPr>
    </w:p>
    <w:p w14:paraId="05DDBB39" w14:textId="77777777" w:rsidR="004A59F9" w:rsidRDefault="004A59F9" w:rsidP="004A59F9">
      <w:r>
        <w:rPr>
          <w:color w:val="000000"/>
          <w:lang w:eastAsia="en-GB"/>
        </w:rPr>
        <w:lastRenderedPageBreak/>
        <w:t>To illustrate, t</w:t>
      </w:r>
      <w:r>
        <w:t xml:space="preserve">he SCoPE accident reports are essentially free text and we read, interpret and categorise the reports to create useful data. </w:t>
      </w:r>
    </w:p>
    <w:p w14:paraId="14E95C0F" w14:textId="35A2B9E3" w:rsidR="004A59F9" w:rsidRDefault="004A59F9" w:rsidP="004A59F9">
      <w:pPr>
        <w:rPr>
          <w:b/>
          <w:bCs/>
          <w:color w:val="000000"/>
          <w:lang w:eastAsia="en-GB"/>
        </w:rPr>
      </w:pPr>
      <w:r>
        <w:t xml:space="preserve">We currently have a list of 70 primary hazards we pick from and to be of some assistance  for this question we’ve gone through the list and picked out the ones that </w:t>
      </w:r>
      <w:r w:rsidR="00174D0B" w:rsidRPr="00174D0B">
        <w:rPr>
          <w:i/>
          <w:iCs/>
        </w:rPr>
        <w:t>we believe</w:t>
      </w:r>
      <w:r w:rsidR="00174D0B">
        <w:t xml:space="preserve"> </w:t>
      </w:r>
      <w:r>
        <w:t>are more likely to relate to a ‘</w:t>
      </w:r>
      <w:r>
        <w:rPr>
          <w:b/>
          <w:bCs/>
          <w:color w:val="000000"/>
          <w:lang w:eastAsia="en-GB"/>
        </w:rPr>
        <w:t xml:space="preserve">complaint or concerns about something they’ve experienced or witnessed relating to their job’.  </w:t>
      </w:r>
    </w:p>
    <w:p w14:paraId="7FD7B9F5" w14:textId="4B9AD1F9" w:rsidR="004A59F9" w:rsidRPr="004A59F9" w:rsidRDefault="004A59F9" w:rsidP="004A59F9">
      <w:pPr>
        <w:rPr>
          <w:color w:val="000000"/>
          <w:lang w:eastAsia="en-GB"/>
        </w:rPr>
      </w:pPr>
      <w:r w:rsidRPr="004A59F9">
        <w:rPr>
          <w:color w:val="000000"/>
          <w:lang w:eastAsia="en-GB"/>
        </w:rPr>
        <w:t>The</w:t>
      </w:r>
      <w:r w:rsidR="00174D0B">
        <w:rPr>
          <w:color w:val="000000"/>
          <w:lang w:eastAsia="en-GB"/>
        </w:rPr>
        <w:t xml:space="preserve"> example</w:t>
      </w:r>
      <w:r w:rsidRPr="004A59F9">
        <w:rPr>
          <w:color w:val="000000"/>
          <w:lang w:eastAsia="en-GB"/>
        </w:rPr>
        <w:t xml:space="preserve"> table below is provided on that basis:</w:t>
      </w:r>
    </w:p>
    <w:tbl>
      <w:tblPr>
        <w:tblW w:w="0" w:type="auto"/>
        <w:tblCellMar>
          <w:left w:w="0" w:type="dxa"/>
          <w:right w:w="0" w:type="dxa"/>
        </w:tblCellMar>
        <w:tblLook w:val="04A0" w:firstRow="1" w:lastRow="0" w:firstColumn="1" w:lastColumn="0" w:noHBand="0" w:noVBand="1"/>
        <w:tblCaption w:val="Table 1 - complaint or concerns about something they’ve experienced or witnessed relating to their job’.  "/>
        <w:tblDescription w:val="table 1 - complaint or concerns about something they’ve experienced or witnessed relating to their job’.  "/>
      </w:tblPr>
      <w:tblGrid>
        <w:gridCol w:w="2979"/>
        <w:gridCol w:w="1111"/>
        <w:gridCol w:w="1111"/>
        <w:gridCol w:w="1111"/>
        <w:gridCol w:w="1111"/>
        <w:gridCol w:w="1084"/>
        <w:gridCol w:w="1111"/>
      </w:tblGrid>
      <w:tr w:rsidR="004A59F9" w14:paraId="52BE3514" w14:textId="77777777" w:rsidTr="004A59F9">
        <w:trPr>
          <w:tblHeader/>
        </w:trPr>
        <w:tc>
          <w:tcPr>
            <w:tcW w:w="382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205D86E" w14:textId="77777777" w:rsidR="004A59F9" w:rsidRDefault="004A59F9">
            <w:pPr>
              <w:rPr>
                <w:b/>
                <w:bCs/>
                <w:color w:val="000000"/>
                <w:lang w:eastAsia="en-GB"/>
              </w:rPr>
            </w:pP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54CA126" w14:textId="77777777" w:rsidR="004A59F9" w:rsidRDefault="004A59F9">
            <w:pPr>
              <w:jc w:val="center"/>
              <w:rPr>
                <w:b/>
                <w:bCs/>
                <w:color w:val="000000"/>
                <w:lang w:eastAsia="en-GB"/>
              </w:rPr>
            </w:pPr>
            <w:r>
              <w:rPr>
                <w:b/>
                <w:bCs/>
                <w:color w:val="000000"/>
                <w:lang w:eastAsia="en-GB"/>
              </w:rPr>
              <w:t>2019/20</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CED038" w14:textId="77777777" w:rsidR="004A59F9" w:rsidRDefault="004A59F9">
            <w:pPr>
              <w:jc w:val="center"/>
              <w:rPr>
                <w:b/>
                <w:bCs/>
                <w:color w:val="000000"/>
                <w:lang w:eastAsia="en-GB"/>
              </w:rPr>
            </w:pPr>
            <w:r>
              <w:rPr>
                <w:b/>
                <w:bCs/>
                <w:color w:val="000000"/>
                <w:lang w:eastAsia="en-GB"/>
              </w:rPr>
              <w:t>2020/21</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416F500" w14:textId="77777777" w:rsidR="004A59F9" w:rsidRDefault="004A59F9">
            <w:pPr>
              <w:jc w:val="center"/>
              <w:rPr>
                <w:b/>
                <w:bCs/>
                <w:color w:val="000000"/>
                <w:lang w:eastAsia="en-GB"/>
              </w:rPr>
            </w:pPr>
            <w:r>
              <w:rPr>
                <w:b/>
                <w:bCs/>
                <w:color w:val="000000"/>
                <w:lang w:eastAsia="en-GB"/>
              </w:rPr>
              <w:t>2021/22</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C1AFC0" w14:textId="77777777" w:rsidR="004A59F9" w:rsidRDefault="004A59F9">
            <w:pPr>
              <w:jc w:val="center"/>
              <w:rPr>
                <w:b/>
                <w:bCs/>
                <w:color w:val="000000"/>
                <w:lang w:eastAsia="en-GB"/>
              </w:rPr>
            </w:pPr>
            <w:r>
              <w:rPr>
                <w:b/>
                <w:bCs/>
                <w:color w:val="000000"/>
                <w:lang w:eastAsia="en-GB"/>
              </w:rPr>
              <w:t>2022/23</w:t>
            </w:r>
          </w:p>
        </w:tc>
        <w:tc>
          <w:tcPr>
            <w:tcW w:w="99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806624" w14:textId="77777777" w:rsidR="004A59F9" w:rsidRDefault="004A59F9">
            <w:pPr>
              <w:jc w:val="center"/>
              <w:rPr>
                <w:b/>
                <w:bCs/>
                <w:color w:val="000000"/>
                <w:lang w:eastAsia="en-GB"/>
              </w:rPr>
            </w:pPr>
            <w:r>
              <w:rPr>
                <w:b/>
                <w:bCs/>
                <w:color w:val="000000"/>
                <w:lang w:eastAsia="en-GB"/>
              </w:rPr>
              <w:t>2023/24</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DB43A1" w14:textId="77777777" w:rsidR="004A59F9" w:rsidRDefault="004A59F9">
            <w:pPr>
              <w:jc w:val="center"/>
              <w:rPr>
                <w:b/>
                <w:bCs/>
                <w:color w:val="000000"/>
                <w:lang w:eastAsia="en-GB"/>
              </w:rPr>
            </w:pPr>
            <w:r>
              <w:rPr>
                <w:b/>
                <w:bCs/>
                <w:color w:val="000000"/>
                <w:lang w:eastAsia="en-GB"/>
              </w:rPr>
              <w:t>2024/25</w:t>
            </w:r>
          </w:p>
        </w:tc>
      </w:tr>
      <w:tr w:rsidR="004A59F9" w14:paraId="1DC06079"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725F1" w14:textId="77777777" w:rsidR="004A59F9" w:rsidRDefault="004A59F9">
            <w:pPr>
              <w:rPr>
                <w:b/>
                <w:bCs/>
                <w:color w:val="000000"/>
                <w:lang w:eastAsia="en-GB"/>
              </w:rPr>
            </w:pPr>
            <w:r>
              <w:rPr>
                <w:b/>
                <w:bCs/>
                <w:color w:val="000000"/>
                <w:lang w:eastAsia="en-GB"/>
              </w:rPr>
              <w:t>Airwave Issue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477B0C"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4855CC"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210562A" w14:textId="77777777" w:rsidR="004A59F9" w:rsidRDefault="004A59F9">
            <w:pPr>
              <w:jc w:val="center"/>
              <w:rPr>
                <w:color w:val="000000"/>
                <w:lang w:eastAsia="en-GB"/>
              </w:rPr>
            </w:pPr>
            <w:r>
              <w:rPr>
                <w:color w:val="000000"/>
                <w:lang w:eastAsia="en-GB"/>
              </w:rPr>
              <w:t>62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6680B" w14:textId="77777777" w:rsidR="004A59F9" w:rsidRDefault="004A59F9">
            <w:pPr>
              <w:jc w:val="center"/>
              <w:rPr>
                <w:color w:val="000000"/>
                <w:lang w:eastAsia="en-GB"/>
              </w:rPr>
            </w:pPr>
            <w:r>
              <w:rPr>
                <w:rFonts w:ascii="Aptos Narrow" w:hAnsi="Aptos Narrow"/>
                <w:color w:val="000000"/>
              </w:rPr>
              <w:t>32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1923F38" w14:textId="77777777" w:rsidR="004A59F9" w:rsidRDefault="004A59F9">
            <w:pPr>
              <w:jc w:val="center"/>
              <w:rPr>
                <w:color w:val="000000"/>
                <w:lang w:eastAsia="en-GB"/>
              </w:rPr>
            </w:pPr>
            <w:r>
              <w:rPr>
                <w:color w:val="000000"/>
                <w:lang w:eastAsia="en-GB"/>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901D49" w14:textId="77777777" w:rsidR="004A59F9" w:rsidRDefault="004A59F9">
            <w:pPr>
              <w:jc w:val="center"/>
              <w:rPr>
                <w:color w:val="000000"/>
                <w:lang w:eastAsia="en-GB"/>
              </w:rPr>
            </w:pPr>
            <w:r>
              <w:rPr>
                <w:color w:val="000000"/>
                <w:lang w:eastAsia="en-GB"/>
              </w:rPr>
              <w:t>25</w:t>
            </w:r>
          </w:p>
        </w:tc>
      </w:tr>
      <w:tr w:rsidR="004A59F9" w14:paraId="57BDC790"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1CB9C" w14:textId="77777777" w:rsidR="004A59F9" w:rsidRDefault="004A59F9">
            <w:pPr>
              <w:rPr>
                <w:b/>
                <w:bCs/>
                <w:color w:val="000000"/>
                <w:lang w:eastAsia="en-GB"/>
              </w:rPr>
            </w:pPr>
            <w:r>
              <w:rPr>
                <w:b/>
                <w:bCs/>
                <w:color w:val="000000"/>
                <w:lang w:eastAsia="en-GB"/>
              </w:rPr>
              <w:t>Asbestos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2D0EB8"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9A63D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F3FA88"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DEF053" w14:textId="77777777" w:rsidR="004A59F9" w:rsidRDefault="004A59F9">
            <w:pPr>
              <w:jc w:val="center"/>
              <w:rPr>
                <w:color w:val="000000"/>
                <w:lang w:eastAsia="en-GB"/>
              </w:rPr>
            </w:pPr>
            <w:r>
              <w:rPr>
                <w:rFonts w:ascii="Aptos Narrow" w:hAnsi="Aptos Narrow"/>
                <w:color w:val="000000"/>
              </w:rPr>
              <w:t>14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0B66D7B" w14:textId="77777777" w:rsidR="004A59F9" w:rsidRDefault="004A59F9">
            <w:pPr>
              <w:jc w:val="center"/>
              <w:rPr>
                <w:color w:val="000000"/>
                <w:lang w:eastAsia="en-GB"/>
              </w:rPr>
            </w:pPr>
            <w:r>
              <w:rPr>
                <w:color w:val="000000"/>
                <w:lang w:eastAsia="en-GB"/>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192CC8A" w14:textId="77777777" w:rsidR="004A59F9" w:rsidRDefault="004A59F9">
            <w:pPr>
              <w:jc w:val="center"/>
              <w:rPr>
                <w:color w:val="000000"/>
                <w:lang w:eastAsia="en-GB"/>
              </w:rPr>
            </w:pPr>
            <w:r>
              <w:rPr>
                <w:color w:val="000000"/>
                <w:lang w:eastAsia="en-GB"/>
              </w:rPr>
              <w:t>1</w:t>
            </w:r>
          </w:p>
        </w:tc>
      </w:tr>
      <w:tr w:rsidR="004A59F9" w14:paraId="7B985DFD"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DBBB3" w14:textId="77777777" w:rsidR="004A59F9" w:rsidRDefault="004A59F9">
            <w:pPr>
              <w:rPr>
                <w:b/>
                <w:bCs/>
                <w:color w:val="000000"/>
                <w:lang w:eastAsia="en-GB"/>
              </w:rPr>
            </w:pPr>
            <w:r>
              <w:rPr>
                <w:b/>
                <w:bCs/>
                <w:color w:val="000000"/>
                <w:lang w:eastAsia="en-GB"/>
              </w:rPr>
              <w:t>Building related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369A7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CFC7C8"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2FF842" w14:textId="77777777" w:rsidR="004A59F9" w:rsidRDefault="004A59F9">
            <w:pPr>
              <w:jc w:val="center"/>
              <w:rPr>
                <w:color w:val="000000"/>
                <w:lang w:eastAsia="en-GB"/>
              </w:rPr>
            </w:pPr>
            <w:r>
              <w:rPr>
                <w:color w:val="000000"/>
                <w:lang w:eastAsia="en-GB"/>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53C315" w14:textId="77777777" w:rsidR="004A59F9" w:rsidRDefault="004A59F9">
            <w:pPr>
              <w:jc w:val="center"/>
              <w:rPr>
                <w:color w:val="000000"/>
                <w:lang w:eastAsia="en-GB"/>
              </w:rPr>
            </w:pPr>
            <w:r>
              <w:rPr>
                <w:rFonts w:ascii="Aptos Narrow" w:hAnsi="Aptos Narrow"/>
                <w:color w:val="000000"/>
              </w:rPr>
              <w:t>123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E6FE4EE" w14:textId="77777777" w:rsidR="004A59F9" w:rsidRDefault="004A59F9">
            <w:pPr>
              <w:jc w:val="center"/>
              <w:rPr>
                <w:color w:val="000000"/>
                <w:lang w:eastAsia="en-GB"/>
              </w:rPr>
            </w:pPr>
            <w:r>
              <w:rPr>
                <w:color w:val="000000"/>
                <w:lang w:eastAsia="en-GB"/>
              </w:rPr>
              <w:t>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5AE524F" w14:textId="77777777" w:rsidR="004A59F9" w:rsidRDefault="004A59F9">
            <w:pPr>
              <w:jc w:val="center"/>
              <w:rPr>
                <w:color w:val="000000"/>
                <w:lang w:eastAsia="en-GB"/>
              </w:rPr>
            </w:pPr>
            <w:r>
              <w:rPr>
                <w:color w:val="000000"/>
                <w:lang w:eastAsia="en-GB"/>
              </w:rPr>
              <w:t>10</w:t>
            </w:r>
          </w:p>
        </w:tc>
      </w:tr>
      <w:tr w:rsidR="004A59F9" w14:paraId="4AB3BE7D"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A315" w14:textId="77777777" w:rsidR="004A59F9" w:rsidRDefault="004A59F9">
            <w:pPr>
              <w:rPr>
                <w:b/>
                <w:bCs/>
                <w:color w:val="000000"/>
                <w:lang w:eastAsia="en-GB"/>
              </w:rPr>
            </w:pPr>
            <w:r>
              <w:rPr>
                <w:b/>
                <w:bCs/>
                <w:color w:val="000000"/>
                <w:lang w:eastAsia="en-GB"/>
              </w:rPr>
              <w:t>Equipment malfunction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2F0CF4"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10F2E9"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43C1A9"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697BAF" w14:textId="77777777" w:rsidR="004A59F9" w:rsidRDefault="004A59F9">
            <w:pPr>
              <w:jc w:val="center"/>
              <w:rPr>
                <w:color w:val="000000"/>
                <w:lang w:eastAsia="en-GB"/>
              </w:rPr>
            </w:pPr>
            <w:r>
              <w:rPr>
                <w:rFonts w:ascii="Aptos Narrow" w:hAnsi="Aptos Narrow"/>
                <w:color w:val="00000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BADC31" w14:textId="77777777" w:rsidR="004A59F9" w:rsidRDefault="004A59F9">
            <w:pPr>
              <w:jc w:val="center"/>
              <w:rPr>
                <w:color w:val="000000"/>
                <w:lang w:eastAsia="en-GB"/>
              </w:rPr>
            </w:pPr>
            <w:r>
              <w:rPr>
                <w:color w:val="000000"/>
                <w:lang w:eastAsia="en-GB"/>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9E01B0" w14:textId="77777777" w:rsidR="004A59F9" w:rsidRDefault="004A59F9">
            <w:pPr>
              <w:jc w:val="center"/>
              <w:rPr>
                <w:color w:val="000000"/>
                <w:lang w:eastAsia="en-GB"/>
              </w:rPr>
            </w:pPr>
            <w:r>
              <w:rPr>
                <w:color w:val="000000"/>
                <w:lang w:eastAsia="en-GB"/>
              </w:rPr>
              <w:t>38</w:t>
            </w:r>
          </w:p>
        </w:tc>
      </w:tr>
      <w:tr w:rsidR="004A59F9" w14:paraId="1B63ED3A"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F9D6B" w14:textId="77777777" w:rsidR="004A59F9" w:rsidRDefault="004A59F9">
            <w:pPr>
              <w:rPr>
                <w:b/>
                <w:bCs/>
                <w:color w:val="000000"/>
                <w:lang w:eastAsia="en-GB"/>
              </w:rPr>
            </w:pPr>
            <w:r>
              <w:rPr>
                <w:b/>
                <w:bCs/>
                <w:color w:val="000000"/>
                <w:lang w:eastAsia="en-GB"/>
              </w:rPr>
              <w:t>Ergonomics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67142C"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7DB108"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FD3999"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979D8A" w14:textId="77777777" w:rsidR="004A59F9" w:rsidRDefault="004A59F9">
            <w:pPr>
              <w:jc w:val="center"/>
              <w:rPr>
                <w:color w:val="000000"/>
                <w:lang w:eastAsia="en-GB"/>
              </w:rPr>
            </w:pPr>
            <w:r>
              <w:rPr>
                <w:rFonts w:ascii="Aptos Narrow" w:hAnsi="Aptos Narrow"/>
                <w:color w:val="00000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8393D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CAAD38" w14:textId="77777777" w:rsidR="004A59F9" w:rsidRDefault="004A59F9">
            <w:pPr>
              <w:jc w:val="center"/>
              <w:rPr>
                <w:color w:val="000000"/>
                <w:lang w:eastAsia="en-GB"/>
              </w:rPr>
            </w:pPr>
          </w:p>
        </w:tc>
      </w:tr>
      <w:tr w:rsidR="004A59F9" w14:paraId="10AD5234"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0802B" w14:textId="77777777" w:rsidR="004A59F9" w:rsidRDefault="004A59F9">
            <w:pPr>
              <w:rPr>
                <w:b/>
                <w:bCs/>
                <w:color w:val="000000"/>
                <w:lang w:eastAsia="en-GB"/>
              </w:rPr>
            </w:pPr>
            <w:r>
              <w:rPr>
                <w:b/>
                <w:bCs/>
                <w:color w:val="000000"/>
                <w:lang w:eastAsia="en-GB"/>
              </w:rPr>
              <w:t>Ergonomics issue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91D101"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0BF5F8"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E8066F" w14:textId="77777777" w:rsidR="004A59F9" w:rsidRDefault="004A59F9">
            <w:pPr>
              <w:jc w:val="center"/>
              <w:rPr>
                <w:color w:val="000000"/>
                <w:lang w:eastAsia="en-GB"/>
              </w:rPr>
            </w:pPr>
            <w:r>
              <w:rPr>
                <w:color w:val="000000"/>
                <w:lang w:eastAsia="en-GB"/>
              </w:rPr>
              <w:t>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4B93EA" w14:textId="77777777" w:rsidR="004A59F9" w:rsidRDefault="004A59F9">
            <w:pPr>
              <w:jc w:val="center"/>
              <w:rPr>
                <w:color w:val="000000"/>
                <w:lang w:eastAsia="en-GB"/>
              </w:rPr>
            </w:pPr>
            <w:r>
              <w:rPr>
                <w:rFonts w:ascii="Aptos Narrow" w:hAnsi="Aptos Narrow"/>
                <w:color w:val="000000"/>
              </w:rPr>
              <w:t>14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D762556" w14:textId="77777777" w:rsidR="004A59F9" w:rsidRDefault="004A59F9">
            <w:pPr>
              <w:jc w:val="center"/>
              <w:rPr>
                <w:color w:val="000000"/>
                <w:lang w:eastAsia="en-GB"/>
              </w:rPr>
            </w:pPr>
            <w:r>
              <w:rPr>
                <w:color w:val="000000"/>
                <w:lang w:eastAsia="en-GB"/>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835052" w14:textId="77777777" w:rsidR="004A59F9" w:rsidRDefault="004A59F9">
            <w:pPr>
              <w:jc w:val="center"/>
              <w:rPr>
                <w:color w:val="000000"/>
                <w:lang w:eastAsia="en-GB"/>
              </w:rPr>
            </w:pPr>
            <w:r>
              <w:rPr>
                <w:color w:val="000000"/>
                <w:lang w:eastAsia="en-GB"/>
              </w:rPr>
              <w:t>7</w:t>
            </w:r>
          </w:p>
        </w:tc>
      </w:tr>
      <w:tr w:rsidR="004A59F9" w14:paraId="548F5231"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74465" w14:textId="77777777" w:rsidR="004A59F9" w:rsidRDefault="004A59F9">
            <w:pPr>
              <w:rPr>
                <w:b/>
                <w:bCs/>
                <w:color w:val="000000"/>
                <w:lang w:eastAsia="en-GB"/>
              </w:rPr>
            </w:pPr>
            <w:r>
              <w:rPr>
                <w:b/>
                <w:bCs/>
                <w:color w:val="000000"/>
                <w:lang w:eastAsia="en-GB"/>
              </w:rPr>
              <w:t>Firearm issue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47B6AD"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37D879"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787AB0" w14:textId="77777777" w:rsidR="004A59F9" w:rsidRDefault="004A59F9">
            <w:pPr>
              <w:jc w:val="center"/>
              <w:rPr>
                <w:color w:val="000000"/>
                <w:lang w:eastAsia="en-GB"/>
              </w:rPr>
            </w:pPr>
            <w:r>
              <w:rPr>
                <w:color w:val="000000"/>
                <w:lang w:eastAsia="en-GB"/>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79EE2" w14:textId="77777777" w:rsidR="004A59F9" w:rsidRDefault="004A59F9">
            <w:pPr>
              <w:jc w:val="center"/>
              <w:rPr>
                <w:color w:val="000000"/>
                <w:lang w:eastAsia="en-GB"/>
              </w:rPr>
            </w:pPr>
            <w:r>
              <w:rPr>
                <w:rFonts w:ascii="Aptos Narrow" w:hAnsi="Aptos Narrow"/>
                <w:color w:val="000000"/>
              </w:rPr>
              <w:t>24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E6721FC" w14:textId="77777777" w:rsidR="004A59F9" w:rsidRDefault="004A59F9">
            <w:pPr>
              <w:jc w:val="center"/>
              <w:rPr>
                <w:color w:val="000000"/>
                <w:lang w:eastAsia="en-GB"/>
              </w:rPr>
            </w:pPr>
            <w:r>
              <w:rPr>
                <w:color w:val="000000"/>
                <w:lang w:eastAsia="en-GB"/>
              </w:rPr>
              <w:t>29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8FB13D" w14:textId="77777777" w:rsidR="004A59F9" w:rsidRDefault="004A59F9">
            <w:pPr>
              <w:jc w:val="center"/>
              <w:rPr>
                <w:color w:val="000000"/>
                <w:lang w:eastAsia="en-GB"/>
              </w:rPr>
            </w:pPr>
            <w:r>
              <w:rPr>
                <w:color w:val="000000"/>
                <w:lang w:eastAsia="en-GB"/>
              </w:rPr>
              <w:t>6</w:t>
            </w:r>
          </w:p>
        </w:tc>
      </w:tr>
      <w:tr w:rsidR="004A59F9" w14:paraId="3C9377D5"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10442" w14:textId="77777777" w:rsidR="004A59F9" w:rsidRDefault="004A59F9">
            <w:pPr>
              <w:rPr>
                <w:b/>
                <w:bCs/>
                <w:color w:val="000000"/>
                <w:lang w:eastAsia="en-GB"/>
              </w:rPr>
            </w:pPr>
            <w:r>
              <w:rPr>
                <w:b/>
                <w:bCs/>
                <w:color w:val="000000"/>
                <w:lang w:eastAsia="en-GB"/>
              </w:rPr>
              <w:t>FM malfunction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1D256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2FC61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CE4D1F"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717B1A" w14:textId="77777777" w:rsidR="004A59F9" w:rsidRDefault="004A59F9">
            <w:pPr>
              <w:jc w:val="center"/>
              <w:rPr>
                <w:color w:val="000000"/>
                <w:lang w:eastAsia="en-GB"/>
              </w:rPr>
            </w:pPr>
            <w:r>
              <w:rPr>
                <w:rFonts w:ascii="Aptos Narrow" w:hAnsi="Aptos Narrow"/>
                <w:color w:val="000000"/>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98C49F1"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5FD96EB" w14:textId="77777777" w:rsidR="004A59F9" w:rsidRDefault="004A59F9">
            <w:pPr>
              <w:jc w:val="center"/>
              <w:rPr>
                <w:color w:val="000000"/>
                <w:lang w:eastAsia="en-GB"/>
              </w:rPr>
            </w:pPr>
            <w:r>
              <w:rPr>
                <w:color w:val="000000"/>
                <w:lang w:eastAsia="en-GB"/>
              </w:rPr>
              <w:t>1</w:t>
            </w:r>
          </w:p>
        </w:tc>
      </w:tr>
      <w:tr w:rsidR="004A59F9" w14:paraId="7F69AF16"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904A5" w14:textId="77777777" w:rsidR="004A59F9" w:rsidRDefault="004A59F9">
            <w:pPr>
              <w:rPr>
                <w:b/>
                <w:bCs/>
                <w:color w:val="000000"/>
                <w:lang w:eastAsia="en-GB"/>
              </w:rPr>
            </w:pPr>
            <w:r>
              <w:rPr>
                <w:b/>
                <w:bCs/>
                <w:color w:val="000000"/>
                <w:lang w:eastAsia="en-GB"/>
              </w:rPr>
              <w:t>Housekeeping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E3CE6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717864"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24870A"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5D8E5C" w14:textId="77777777" w:rsidR="004A59F9" w:rsidRDefault="004A59F9">
            <w:pPr>
              <w:jc w:val="center"/>
              <w:rPr>
                <w:color w:val="000000"/>
                <w:lang w:eastAsia="en-GB"/>
              </w:rPr>
            </w:pPr>
            <w:r>
              <w:rPr>
                <w:rFonts w:ascii="Aptos Narrow" w:hAnsi="Aptos Narrow"/>
                <w:color w:val="000000"/>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D2B1F7D" w14:textId="77777777" w:rsidR="004A59F9" w:rsidRDefault="004A59F9">
            <w:pPr>
              <w:jc w:val="center"/>
              <w:rPr>
                <w:color w:val="000000"/>
                <w:lang w:eastAsia="en-GB"/>
              </w:rPr>
            </w:pPr>
            <w:r>
              <w:rPr>
                <w:color w:val="000000"/>
                <w:lang w:eastAsia="en-GB"/>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63BD81" w14:textId="77777777" w:rsidR="004A59F9" w:rsidRDefault="004A59F9">
            <w:pPr>
              <w:jc w:val="center"/>
              <w:rPr>
                <w:color w:val="000000"/>
                <w:lang w:eastAsia="en-GB"/>
              </w:rPr>
            </w:pPr>
            <w:r>
              <w:rPr>
                <w:color w:val="000000"/>
                <w:lang w:eastAsia="en-GB"/>
              </w:rPr>
              <w:t>4</w:t>
            </w:r>
          </w:p>
        </w:tc>
      </w:tr>
      <w:tr w:rsidR="004A59F9" w14:paraId="1FC274F2"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EEC29" w14:textId="77777777" w:rsidR="004A59F9" w:rsidRDefault="004A59F9">
            <w:pPr>
              <w:rPr>
                <w:b/>
                <w:bCs/>
                <w:color w:val="000000"/>
                <w:lang w:eastAsia="en-GB"/>
              </w:rPr>
            </w:pPr>
            <w:r>
              <w:rPr>
                <w:b/>
                <w:bCs/>
                <w:color w:val="000000"/>
                <w:lang w:eastAsia="en-GB"/>
              </w:rPr>
              <w:t>Incorrect storage/ packing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669C76"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8D4437"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7EDACE" w14:textId="77777777" w:rsidR="004A59F9" w:rsidRDefault="004A59F9">
            <w:pPr>
              <w:jc w:val="center"/>
              <w:rPr>
                <w:color w:val="000000"/>
                <w:lang w:eastAsia="en-GB"/>
              </w:rPr>
            </w:pPr>
            <w:r>
              <w:rPr>
                <w:color w:val="000000"/>
                <w:lang w:eastAsia="en-GB"/>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9CEF19" w14:textId="77777777" w:rsidR="004A59F9" w:rsidRDefault="004A59F9">
            <w:pPr>
              <w:jc w:val="center"/>
              <w:rPr>
                <w:color w:val="000000"/>
                <w:lang w:eastAsia="en-GB"/>
              </w:rPr>
            </w:pPr>
            <w:r>
              <w:rPr>
                <w:rFonts w:ascii="Aptos Narrow" w:hAnsi="Aptos Narrow"/>
                <w:color w:val="000000"/>
              </w:rPr>
              <w:t>25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38D58E3" w14:textId="77777777" w:rsidR="004A59F9" w:rsidRDefault="004A59F9">
            <w:pPr>
              <w:jc w:val="center"/>
              <w:rPr>
                <w:color w:val="000000"/>
                <w:lang w:eastAsia="en-GB"/>
              </w:rPr>
            </w:pPr>
            <w:r>
              <w:rPr>
                <w:color w:val="000000"/>
                <w:lang w:eastAsia="en-GB"/>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97EF41" w14:textId="77777777" w:rsidR="004A59F9" w:rsidRDefault="004A59F9">
            <w:pPr>
              <w:jc w:val="center"/>
              <w:rPr>
                <w:color w:val="000000"/>
                <w:lang w:eastAsia="en-GB"/>
              </w:rPr>
            </w:pPr>
            <w:r>
              <w:rPr>
                <w:color w:val="000000"/>
                <w:lang w:eastAsia="en-GB"/>
              </w:rPr>
              <w:t>17</w:t>
            </w:r>
          </w:p>
        </w:tc>
      </w:tr>
      <w:tr w:rsidR="004A59F9" w14:paraId="4525895B"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23B6" w14:textId="77777777" w:rsidR="004A59F9" w:rsidRDefault="004A59F9">
            <w:pPr>
              <w:rPr>
                <w:b/>
                <w:bCs/>
                <w:color w:val="000000"/>
                <w:lang w:eastAsia="en-GB"/>
              </w:rPr>
            </w:pPr>
            <w:r>
              <w:rPr>
                <w:b/>
                <w:bCs/>
                <w:color w:val="000000"/>
                <w:lang w:eastAsia="en-GB"/>
              </w:rPr>
              <w:t>Insufficient communication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1FAEA5"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7BCC41"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57C21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BCC197" w14:textId="77777777" w:rsidR="004A59F9" w:rsidRDefault="004A59F9">
            <w:pPr>
              <w:jc w:val="center"/>
              <w:rPr>
                <w:color w:val="000000"/>
                <w:lang w:eastAsia="en-GB"/>
              </w:rPr>
            </w:pPr>
            <w:r>
              <w:rPr>
                <w:rFonts w:ascii="Aptos Narrow" w:hAnsi="Aptos Narrow"/>
                <w:color w:val="000000"/>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85BBFA3" w14:textId="77777777" w:rsidR="004A59F9" w:rsidRDefault="004A59F9">
            <w:pPr>
              <w:jc w:val="center"/>
              <w:rPr>
                <w:color w:val="000000"/>
                <w:lang w:eastAsia="en-GB"/>
              </w:rPr>
            </w:pPr>
            <w:r>
              <w:rPr>
                <w:color w:val="000000"/>
                <w:lang w:eastAsia="en-GB"/>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D37468" w14:textId="77777777" w:rsidR="004A59F9" w:rsidRDefault="004A59F9">
            <w:pPr>
              <w:jc w:val="center"/>
              <w:rPr>
                <w:color w:val="000000"/>
                <w:lang w:eastAsia="en-GB"/>
              </w:rPr>
            </w:pPr>
            <w:r>
              <w:rPr>
                <w:color w:val="000000"/>
                <w:lang w:eastAsia="en-GB"/>
              </w:rPr>
              <w:t>6</w:t>
            </w:r>
          </w:p>
        </w:tc>
      </w:tr>
      <w:tr w:rsidR="004A59F9" w14:paraId="28CAC932"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33E27" w14:textId="77777777" w:rsidR="004A59F9" w:rsidRDefault="004A59F9">
            <w:pPr>
              <w:rPr>
                <w:b/>
                <w:bCs/>
                <w:color w:val="000000"/>
                <w:lang w:eastAsia="en-GB"/>
              </w:rPr>
            </w:pPr>
            <w:r>
              <w:rPr>
                <w:b/>
                <w:bCs/>
                <w:color w:val="000000"/>
                <w:lang w:eastAsia="en-GB"/>
              </w:rPr>
              <w:t>Insufficient labelling/ packaging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442CB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7369ED"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B38AF4"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E69505" w14:textId="77777777" w:rsidR="004A59F9" w:rsidRDefault="004A59F9">
            <w:pPr>
              <w:jc w:val="center"/>
              <w:rPr>
                <w:color w:val="000000"/>
                <w:lang w:eastAsia="en-GB"/>
              </w:rPr>
            </w:pPr>
            <w:r>
              <w:rPr>
                <w:rFonts w:ascii="Aptos Narrow" w:hAnsi="Aptos Narrow"/>
                <w:color w:val="000000"/>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BEFCD9C" w14:textId="77777777" w:rsidR="004A59F9" w:rsidRDefault="004A59F9">
            <w:pPr>
              <w:jc w:val="center"/>
              <w:rPr>
                <w:color w:val="000000"/>
                <w:lang w:eastAsia="en-GB"/>
              </w:rPr>
            </w:pPr>
            <w:r>
              <w:rPr>
                <w:color w:val="000000"/>
                <w:lang w:eastAsia="en-GB"/>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AFCFFC" w14:textId="77777777" w:rsidR="004A59F9" w:rsidRDefault="004A59F9">
            <w:pPr>
              <w:jc w:val="center"/>
              <w:rPr>
                <w:color w:val="000000"/>
                <w:lang w:eastAsia="en-GB"/>
              </w:rPr>
            </w:pPr>
            <w:r>
              <w:rPr>
                <w:color w:val="000000"/>
                <w:lang w:eastAsia="en-GB"/>
              </w:rPr>
              <w:t>3</w:t>
            </w:r>
          </w:p>
        </w:tc>
      </w:tr>
      <w:tr w:rsidR="004A59F9" w14:paraId="02002E19"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5440E" w14:textId="77777777" w:rsidR="004A59F9" w:rsidRDefault="004A59F9">
            <w:pPr>
              <w:rPr>
                <w:b/>
                <w:bCs/>
                <w:color w:val="000000"/>
                <w:lang w:eastAsia="en-GB"/>
              </w:rPr>
            </w:pPr>
            <w:r>
              <w:rPr>
                <w:b/>
                <w:bCs/>
                <w:color w:val="000000"/>
                <w:lang w:eastAsia="en-GB"/>
              </w:rPr>
              <w:lastRenderedPageBreak/>
              <w:t>Insufficient / incorrect information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608C1A"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EB921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4F811A" w14:textId="77777777" w:rsidR="004A59F9" w:rsidRDefault="004A59F9">
            <w:pPr>
              <w:jc w:val="center"/>
              <w:rPr>
                <w:color w:val="000000"/>
                <w:lang w:eastAsia="en-GB"/>
              </w:rPr>
            </w:pPr>
            <w:r>
              <w:rPr>
                <w:color w:val="000000"/>
                <w:lang w:eastAsia="en-GB"/>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187DA4" w14:textId="77777777" w:rsidR="004A59F9" w:rsidRDefault="004A59F9">
            <w:pPr>
              <w:jc w:val="center"/>
              <w:rPr>
                <w:color w:val="000000"/>
                <w:lang w:eastAsia="en-GB"/>
              </w:rPr>
            </w:pPr>
            <w:r>
              <w:rPr>
                <w:rFonts w:ascii="Aptos Narrow" w:hAnsi="Aptos Narrow"/>
                <w:color w:val="000000"/>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098C315" w14:textId="77777777" w:rsidR="004A59F9" w:rsidRDefault="004A59F9">
            <w:pPr>
              <w:jc w:val="center"/>
              <w:rPr>
                <w:color w:val="000000"/>
                <w:lang w:eastAsia="en-GB"/>
              </w:rPr>
            </w:pPr>
            <w:r>
              <w:rPr>
                <w:color w:val="000000"/>
                <w:lang w:eastAsia="en-GB"/>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80F9E9" w14:textId="77777777" w:rsidR="004A59F9" w:rsidRDefault="004A59F9">
            <w:pPr>
              <w:jc w:val="center"/>
              <w:rPr>
                <w:color w:val="000000"/>
                <w:lang w:eastAsia="en-GB"/>
              </w:rPr>
            </w:pPr>
            <w:r>
              <w:rPr>
                <w:color w:val="000000"/>
                <w:lang w:eastAsia="en-GB"/>
              </w:rPr>
              <w:t>6</w:t>
            </w:r>
          </w:p>
        </w:tc>
      </w:tr>
      <w:tr w:rsidR="004A59F9" w14:paraId="2A8BC04F"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52F60" w14:textId="77777777" w:rsidR="004A59F9" w:rsidRDefault="004A59F9">
            <w:pPr>
              <w:rPr>
                <w:b/>
                <w:bCs/>
                <w:color w:val="000000"/>
                <w:lang w:eastAsia="en-GB"/>
              </w:rPr>
            </w:pPr>
            <w:r>
              <w:rPr>
                <w:b/>
                <w:bCs/>
                <w:color w:val="000000"/>
                <w:lang w:eastAsia="en-GB"/>
              </w:rPr>
              <w:t>Lack of resources / welfare issue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275BDA"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FBB334"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16B923" w14:textId="77777777" w:rsidR="004A59F9" w:rsidRDefault="004A59F9">
            <w:pPr>
              <w:jc w:val="center"/>
              <w:rPr>
                <w:color w:val="000000"/>
                <w:lang w:eastAsia="en-GB"/>
              </w:rPr>
            </w:pPr>
            <w:r>
              <w:rPr>
                <w:color w:val="000000"/>
                <w:lang w:eastAsia="en-GB"/>
              </w:rPr>
              <w:t>184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C97F75" w14:textId="77777777" w:rsidR="004A59F9" w:rsidRDefault="004A59F9">
            <w:pPr>
              <w:jc w:val="center"/>
              <w:rPr>
                <w:color w:val="000000"/>
                <w:lang w:eastAsia="en-GB"/>
              </w:rPr>
            </w:pPr>
            <w:r>
              <w:rPr>
                <w:rFonts w:ascii="Aptos Narrow" w:hAnsi="Aptos Narrow"/>
                <w:color w:val="000000"/>
              </w:rPr>
              <w:t>391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2B7C34" w14:textId="77777777" w:rsidR="004A59F9" w:rsidRDefault="004A59F9">
            <w:pPr>
              <w:jc w:val="center"/>
              <w:rPr>
                <w:color w:val="000000"/>
                <w:lang w:eastAsia="en-GB"/>
              </w:rPr>
            </w:pPr>
            <w:r>
              <w:rPr>
                <w:color w:val="000000"/>
                <w:lang w:eastAsia="en-GB"/>
              </w:rPr>
              <w:t>257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48A26C" w14:textId="77777777" w:rsidR="004A59F9" w:rsidRDefault="004A59F9">
            <w:pPr>
              <w:jc w:val="center"/>
              <w:rPr>
                <w:color w:val="000000"/>
                <w:lang w:eastAsia="en-GB"/>
              </w:rPr>
            </w:pPr>
            <w:r>
              <w:rPr>
                <w:color w:val="000000"/>
                <w:lang w:eastAsia="en-GB"/>
              </w:rPr>
              <w:t>46</w:t>
            </w:r>
          </w:p>
        </w:tc>
      </w:tr>
      <w:tr w:rsidR="004A59F9" w14:paraId="4DD9F90E"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5D95" w14:textId="77777777" w:rsidR="004A59F9" w:rsidRDefault="004A59F9">
            <w:pPr>
              <w:rPr>
                <w:b/>
                <w:bCs/>
                <w:color w:val="000000"/>
                <w:lang w:eastAsia="en-GB"/>
              </w:rPr>
            </w:pPr>
            <w:r>
              <w:rPr>
                <w:b/>
                <w:bCs/>
                <w:color w:val="000000"/>
                <w:lang w:eastAsia="en-GB"/>
              </w:rPr>
              <w:t>Other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DBF086" w14:textId="77777777" w:rsidR="004A59F9" w:rsidRDefault="004A59F9">
            <w:pPr>
              <w:jc w:val="center"/>
              <w:rPr>
                <w:color w:val="000000"/>
                <w:lang w:eastAsia="en-GB"/>
              </w:rPr>
            </w:pPr>
            <w:r>
              <w:rPr>
                <w:color w:val="000000"/>
                <w:lang w:eastAsia="en-GB"/>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A724E4" w14:textId="77777777" w:rsidR="004A59F9" w:rsidRDefault="004A59F9">
            <w:pPr>
              <w:jc w:val="center"/>
              <w:rPr>
                <w:color w:val="000000"/>
                <w:lang w:eastAsia="en-GB"/>
              </w:rPr>
            </w:pPr>
            <w:r>
              <w:rPr>
                <w:color w:val="000000"/>
                <w:lang w:eastAsia="en-GB"/>
              </w:rPr>
              <w:t>3449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53EFAFF" w14:textId="77777777" w:rsidR="004A59F9" w:rsidRDefault="004A59F9">
            <w:pPr>
              <w:jc w:val="center"/>
              <w:rPr>
                <w:color w:val="000000"/>
                <w:lang w:eastAsia="en-GB"/>
              </w:rPr>
            </w:pPr>
            <w:r>
              <w:rPr>
                <w:color w:val="000000"/>
                <w:lang w:eastAsia="en-GB"/>
              </w:rPr>
              <w:t>951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2FDD01" w14:textId="77777777" w:rsidR="004A59F9" w:rsidRDefault="004A59F9">
            <w:pPr>
              <w:jc w:val="center"/>
              <w:rPr>
                <w:color w:val="000000"/>
                <w:lang w:eastAsia="en-GB"/>
              </w:rPr>
            </w:pPr>
            <w:r>
              <w:rPr>
                <w:rFonts w:ascii="Aptos Narrow" w:hAnsi="Aptos Narrow"/>
                <w:color w:val="000000"/>
              </w:rPr>
              <w:t>264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33E5D70" w14:textId="77777777" w:rsidR="004A59F9" w:rsidRDefault="004A59F9">
            <w:pPr>
              <w:jc w:val="center"/>
              <w:rPr>
                <w:color w:val="000000"/>
                <w:lang w:eastAsia="en-GB"/>
              </w:rPr>
            </w:pPr>
            <w:r>
              <w:rPr>
                <w:color w:val="000000"/>
                <w:lang w:eastAsia="en-GB"/>
              </w:rPr>
              <w:t>184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933EB9" w14:textId="77777777" w:rsidR="004A59F9" w:rsidRDefault="004A59F9">
            <w:pPr>
              <w:jc w:val="center"/>
              <w:rPr>
                <w:color w:val="000000"/>
                <w:lang w:eastAsia="en-GB"/>
              </w:rPr>
            </w:pPr>
            <w:r>
              <w:rPr>
                <w:color w:val="000000"/>
                <w:lang w:eastAsia="en-GB"/>
              </w:rPr>
              <w:t>65</w:t>
            </w:r>
          </w:p>
        </w:tc>
      </w:tr>
      <w:tr w:rsidR="004A59F9" w14:paraId="0BD1FB05"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4613F" w14:textId="77777777" w:rsidR="004A59F9" w:rsidRDefault="004A59F9">
            <w:pPr>
              <w:rPr>
                <w:b/>
                <w:bCs/>
                <w:color w:val="000000"/>
                <w:lang w:eastAsia="en-GB"/>
              </w:rPr>
            </w:pPr>
            <w:r>
              <w:rPr>
                <w:b/>
                <w:bCs/>
                <w:color w:val="000000"/>
                <w:lang w:eastAsia="en-GB"/>
              </w:rPr>
              <w:t>PAVA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839044"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426D8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36F9773" w14:textId="77777777" w:rsidR="004A59F9" w:rsidRDefault="004A59F9">
            <w:pPr>
              <w:jc w:val="center"/>
              <w:rPr>
                <w:color w:val="000000"/>
                <w:lang w:eastAsia="en-GB"/>
              </w:rPr>
            </w:pPr>
            <w:r>
              <w:rPr>
                <w:color w:val="000000"/>
                <w:lang w:eastAsia="en-GB"/>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1E95A" w14:textId="77777777" w:rsidR="004A59F9" w:rsidRDefault="004A59F9">
            <w:pPr>
              <w:jc w:val="center"/>
              <w:rPr>
                <w:color w:val="000000"/>
                <w:lang w:eastAsia="en-GB"/>
              </w:rPr>
            </w:pPr>
            <w:r>
              <w:rPr>
                <w:rFonts w:ascii="Aptos Narrow" w:hAnsi="Aptos Narrow"/>
                <w:color w:val="000000"/>
              </w:rPr>
              <w:t>24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931DB9D" w14:textId="77777777" w:rsidR="004A59F9" w:rsidRDefault="004A59F9">
            <w:pPr>
              <w:jc w:val="center"/>
              <w:rPr>
                <w:color w:val="000000"/>
                <w:lang w:eastAsia="en-GB"/>
              </w:rPr>
            </w:pPr>
            <w:r>
              <w:rPr>
                <w:color w:val="000000"/>
                <w:lang w:eastAsia="en-GB"/>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8C2FF89" w14:textId="77777777" w:rsidR="004A59F9" w:rsidRDefault="004A59F9">
            <w:pPr>
              <w:jc w:val="center"/>
              <w:rPr>
                <w:color w:val="000000"/>
                <w:lang w:eastAsia="en-GB"/>
              </w:rPr>
            </w:pPr>
            <w:r>
              <w:rPr>
                <w:color w:val="000000"/>
                <w:lang w:eastAsia="en-GB"/>
              </w:rPr>
              <w:t>6</w:t>
            </w:r>
          </w:p>
        </w:tc>
      </w:tr>
      <w:tr w:rsidR="004A59F9" w14:paraId="3D593832"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7B6E7" w14:textId="77777777" w:rsidR="004A59F9" w:rsidRDefault="004A59F9">
            <w:pPr>
              <w:rPr>
                <w:b/>
                <w:bCs/>
                <w:color w:val="000000"/>
                <w:lang w:eastAsia="en-GB"/>
              </w:rPr>
            </w:pPr>
            <w:r>
              <w:rPr>
                <w:b/>
                <w:bCs/>
                <w:color w:val="000000"/>
                <w:lang w:eastAsia="en-GB"/>
              </w:rPr>
              <w:t>PPE related Issue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50655B"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4D18B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7B926D3" w14:textId="77777777" w:rsidR="004A59F9" w:rsidRDefault="004A59F9">
            <w:pPr>
              <w:jc w:val="center"/>
              <w:rPr>
                <w:color w:val="000000"/>
                <w:lang w:eastAsia="en-GB"/>
              </w:rPr>
            </w:pPr>
            <w:r>
              <w:rPr>
                <w:color w:val="000000"/>
                <w:lang w:eastAsia="en-GB"/>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135568" w14:textId="77777777" w:rsidR="004A59F9" w:rsidRDefault="004A59F9">
            <w:pPr>
              <w:jc w:val="center"/>
              <w:rPr>
                <w:color w:val="000000"/>
                <w:lang w:eastAsia="en-GB"/>
              </w:rPr>
            </w:pPr>
            <w:r>
              <w:rPr>
                <w:rFonts w:ascii="Aptos Narrow" w:hAnsi="Aptos Narrow"/>
                <w:color w:val="000000"/>
              </w:rPr>
              <w:t>137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1C027DD" w14:textId="77777777" w:rsidR="004A59F9" w:rsidRDefault="004A59F9">
            <w:pPr>
              <w:jc w:val="center"/>
              <w:rPr>
                <w:color w:val="000000"/>
                <w:lang w:eastAsia="en-GB"/>
              </w:rPr>
            </w:pPr>
            <w:r>
              <w:rPr>
                <w:color w:val="000000"/>
                <w:lang w:eastAsia="en-GB"/>
              </w:rPr>
              <w:t>130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C5FBC9" w14:textId="77777777" w:rsidR="004A59F9" w:rsidRDefault="004A59F9">
            <w:pPr>
              <w:jc w:val="center"/>
              <w:rPr>
                <w:color w:val="000000"/>
                <w:lang w:eastAsia="en-GB"/>
              </w:rPr>
            </w:pPr>
            <w:r>
              <w:rPr>
                <w:color w:val="000000"/>
                <w:lang w:eastAsia="en-GB"/>
              </w:rPr>
              <w:t>76</w:t>
            </w:r>
          </w:p>
        </w:tc>
      </w:tr>
      <w:tr w:rsidR="004A59F9" w14:paraId="7B5625DB"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D9867" w14:textId="77777777" w:rsidR="004A59F9" w:rsidRDefault="004A59F9">
            <w:pPr>
              <w:rPr>
                <w:b/>
                <w:bCs/>
                <w:color w:val="000000"/>
                <w:lang w:eastAsia="en-GB"/>
              </w:rPr>
            </w:pPr>
            <w:r>
              <w:rPr>
                <w:b/>
                <w:bCs/>
                <w:color w:val="000000"/>
                <w:lang w:eastAsia="en-GB"/>
              </w:rPr>
              <w:t>Premises Flood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5C70C6"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5F2F1A"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9EC3C0"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C86548" w14:textId="77777777" w:rsidR="004A59F9" w:rsidRDefault="004A59F9">
            <w:pPr>
              <w:jc w:val="center"/>
              <w:rPr>
                <w:color w:val="000000"/>
                <w:lang w:eastAsia="en-GB"/>
              </w:rPr>
            </w:pPr>
            <w:r>
              <w:rPr>
                <w:rFonts w:ascii="Aptos Narrow" w:hAnsi="Aptos Narrow"/>
                <w:color w:val="00000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EE24E66" w14:textId="77777777" w:rsidR="004A59F9" w:rsidRDefault="004A59F9">
            <w:pPr>
              <w:jc w:val="center"/>
              <w:rPr>
                <w:color w:val="000000"/>
                <w:lang w:eastAsia="en-GB"/>
              </w:rPr>
            </w:pPr>
            <w:r>
              <w:rPr>
                <w:color w:val="000000"/>
                <w:lang w:eastAsia="en-GB"/>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AE697B0" w14:textId="77777777" w:rsidR="004A59F9" w:rsidRDefault="004A59F9">
            <w:pPr>
              <w:jc w:val="center"/>
              <w:rPr>
                <w:color w:val="000000"/>
                <w:lang w:eastAsia="en-GB"/>
              </w:rPr>
            </w:pPr>
            <w:r>
              <w:rPr>
                <w:color w:val="000000"/>
                <w:lang w:eastAsia="en-GB"/>
              </w:rPr>
              <w:t>2</w:t>
            </w:r>
          </w:p>
        </w:tc>
      </w:tr>
      <w:tr w:rsidR="004A59F9" w14:paraId="6BC8B481" w14:textId="77777777" w:rsidTr="004A59F9">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74A8E" w14:textId="77777777" w:rsidR="004A59F9" w:rsidRDefault="004A59F9">
            <w:pPr>
              <w:rPr>
                <w:b/>
                <w:bCs/>
                <w:color w:val="000000"/>
                <w:lang w:eastAsia="en-GB"/>
              </w:rPr>
            </w:pPr>
            <w:r>
              <w:rPr>
                <w:b/>
                <w:bCs/>
                <w:color w:val="000000"/>
                <w:lang w:eastAsia="en-GB"/>
              </w:rPr>
              <w:t>Use of Equipment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F3F723"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5CD37A"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29E062" w14:textId="77777777" w:rsidR="004A59F9" w:rsidRDefault="004A59F9">
            <w:pPr>
              <w:jc w:val="center"/>
              <w:rPr>
                <w:color w:val="000000"/>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921379" w14:textId="77777777" w:rsidR="004A59F9" w:rsidRDefault="004A59F9">
            <w:pPr>
              <w:jc w:val="center"/>
              <w:rPr>
                <w:color w:val="000000"/>
                <w:lang w:eastAsia="en-GB"/>
              </w:rPr>
            </w:pPr>
            <w:r>
              <w:rPr>
                <w:rFonts w:ascii="Aptos Narrow" w:hAnsi="Aptos Narrow"/>
                <w:color w:val="000000"/>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501FD2B" w14:textId="77777777" w:rsidR="004A59F9" w:rsidRDefault="004A59F9">
            <w:pPr>
              <w:jc w:val="center"/>
              <w:rPr>
                <w:color w:val="000000"/>
                <w:lang w:eastAsia="en-GB"/>
              </w:rPr>
            </w:pPr>
            <w:r>
              <w:rPr>
                <w:color w:val="000000"/>
                <w:lang w:eastAsia="en-GB"/>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5A5055" w14:textId="77777777" w:rsidR="004A59F9" w:rsidRDefault="004A59F9">
            <w:pPr>
              <w:jc w:val="center"/>
              <w:rPr>
                <w:color w:val="000000"/>
                <w:lang w:eastAsia="en-GB"/>
              </w:rPr>
            </w:pPr>
            <w:r>
              <w:rPr>
                <w:color w:val="000000"/>
                <w:lang w:eastAsia="en-GB"/>
              </w:rPr>
              <w:t>16</w:t>
            </w:r>
          </w:p>
        </w:tc>
      </w:tr>
      <w:tr w:rsidR="004A59F9" w14:paraId="3ACD8967" w14:textId="77777777" w:rsidTr="004A59F9">
        <w:tc>
          <w:tcPr>
            <w:tcW w:w="3823" w:type="dxa"/>
            <w:tcBorders>
              <w:top w:val="nil"/>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0DC19AB9" w14:textId="77777777" w:rsidR="004A59F9" w:rsidRDefault="004A59F9">
            <w:pPr>
              <w:rPr>
                <w:b/>
                <w:bCs/>
                <w:color w:val="000000"/>
                <w:lang w:eastAsia="en-GB"/>
              </w:rPr>
            </w:pPr>
            <w:r>
              <w:rPr>
                <w:b/>
                <w:bCs/>
                <w:color w:val="000000"/>
                <w:lang w:eastAsia="en-GB"/>
              </w:rPr>
              <w:t>Total</w:t>
            </w:r>
          </w:p>
        </w:tc>
        <w:tc>
          <w:tcPr>
            <w:tcW w:w="1134"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57596760" w14:textId="77777777" w:rsidR="004A59F9" w:rsidRDefault="004A59F9">
            <w:pPr>
              <w:jc w:val="center"/>
              <w:rPr>
                <w:b/>
                <w:bCs/>
                <w:color w:val="000000"/>
                <w:lang w:eastAsia="en-GB"/>
              </w:rPr>
            </w:pPr>
            <w:r>
              <w:rPr>
                <w:b/>
                <w:bCs/>
                <w:color w:val="000000"/>
                <w:lang w:eastAsia="en-GB"/>
              </w:rPr>
              <w:t>3</w:t>
            </w:r>
          </w:p>
        </w:tc>
        <w:tc>
          <w:tcPr>
            <w:tcW w:w="1134"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1BDFA23F" w14:textId="77777777" w:rsidR="004A59F9" w:rsidRDefault="004A59F9">
            <w:pPr>
              <w:jc w:val="center"/>
              <w:rPr>
                <w:b/>
                <w:bCs/>
                <w:color w:val="000000"/>
                <w:lang w:eastAsia="en-GB"/>
              </w:rPr>
            </w:pPr>
            <w:r>
              <w:rPr>
                <w:b/>
                <w:bCs/>
                <w:color w:val="000000"/>
                <w:lang w:eastAsia="en-GB"/>
              </w:rPr>
              <w:t>3449</w:t>
            </w:r>
          </w:p>
        </w:tc>
        <w:tc>
          <w:tcPr>
            <w:tcW w:w="1134"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6D601297" w14:textId="77777777" w:rsidR="004A59F9" w:rsidRDefault="004A59F9">
            <w:pPr>
              <w:jc w:val="center"/>
              <w:rPr>
                <w:b/>
                <w:bCs/>
                <w:color w:val="000000"/>
                <w:lang w:eastAsia="en-GB"/>
              </w:rPr>
            </w:pPr>
            <w:r>
              <w:rPr>
                <w:b/>
                <w:bCs/>
                <w:color w:val="000000"/>
                <w:lang w:eastAsia="en-GB"/>
              </w:rPr>
              <w:t>1329</w:t>
            </w:r>
          </w:p>
        </w:tc>
        <w:tc>
          <w:tcPr>
            <w:tcW w:w="1134"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19B6248B" w14:textId="77777777" w:rsidR="004A59F9" w:rsidRDefault="004A59F9">
            <w:pPr>
              <w:jc w:val="center"/>
              <w:rPr>
                <w:b/>
                <w:bCs/>
                <w:color w:val="000000"/>
                <w:lang w:eastAsia="en-GB"/>
              </w:rPr>
            </w:pPr>
            <w:r>
              <w:rPr>
                <w:b/>
                <w:bCs/>
                <w:color w:val="000000"/>
                <w:lang w:eastAsia="en-GB"/>
              </w:rPr>
              <w:t>1086</w:t>
            </w:r>
          </w:p>
        </w:tc>
        <w:tc>
          <w:tcPr>
            <w:tcW w:w="992"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7BA49B5E" w14:textId="77777777" w:rsidR="004A59F9" w:rsidRDefault="004A59F9">
            <w:pPr>
              <w:jc w:val="center"/>
              <w:rPr>
                <w:b/>
                <w:bCs/>
                <w:color w:val="000000"/>
                <w:lang w:eastAsia="en-GB"/>
              </w:rPr>
            </w:pPr>
            <w:r>
              <w:rPr>
                <w:b/>
                <w:bCs/>
                <w:color w:val="000000"/>
                <w:lang w:eastAsia="en-GB"/>
              </w:rPr>
              <w:t>846</w:t>
            </w:r>
          </w:p>
        </w:tc>
        <w:tc>
          <w:tcPr>
            <w:tcW w:w="1134"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14:paraId="74E97229" w14:textId="77777777" w:rsidR="004A59F9" w:rsidRDefault="004A59F9">
            <w:pPr>
              <w:jc w:val="center"/>
              <w:rPr>
                <w:b/>
                <w:bCs/>
                <w:color w:val="000000"/>
                <w:lang w:eastAsia="en-GB"/>
              </w:rPr>
            </w:pPr>
            <w:r>
              <w:rPr>
                <w:b/>
                <w:bCs/>
                <w:color w:val="000000"/>
                <w:lang w:eastAsia="en-GB"/>
              </w:rPr>
              <w:t>335</w:t>
            </w:r>
          </w:p>
        </w:tc>
      </w:tr>
    </w:tbl>
    <w:p w14:paraId="5377BF8C" w14:textId="77777777" w:rsidR="004A59F9" w:rsidRDefault="004A59F9" w:rsidP="004A59F9">
      <w:pPr>
        <w:rPr>
          <w:color w:val="000000"/>
          <w:lang w:eastAsia="en-GB"/>
        </w:rPr>
      </w:pPr>
      <w:r>
        <w:rPr>
          <w:color w:val="000000"/>
          <w:lang w:eastAsia="en-GB"/>
        </w:rPr>
        <w:t> </w:t>
      </w:r>
    </w:p>
    <w:p w14:paraId="1E4E5F43" w14:textId="77777777" w:rsidR="004A59F9" w:rsidRDefault="004A59F9" w:rsidP="004A59F9">
      <w:pPr>
        <w:rPr>
          <w:b/>
          <w:bCs/>
          <w:color w:val="000000"/>
          <w:lang w:eastAsia="en-GB"/>
        </w:rPr>
      </w:pPr>
      <w:r>
        <w:rPr>
          <w:color w:val="000000"/>
          <w:lang w:eastAsia="en-GB"/>
        </w:rPr>
        <w:t xml:space="preserve">We’ve excluded common categories like ‘Assault’ and accidents occurring ‘During Arrest/Custody Process’, but the reality is some reports under those categories could also fall under this very broad question. </w:t>
      </w:r>
    </w:p>
    <w:p w14:paraId="1BC84627" w14:textId="04C8A401" w:rsidR="003F2BCB" w:rsidRDefault="004A59F9" w:rsidP="00C57DA8">
      <w:pPr>
        <w:rPr>
          <w:b/>
          <w:bCs/>
          <w:color w:val="000000"/>
          <w:lang w:eastAsia="en-GB"/>
        </w:rPr>
      </w:pPr>
      <w:r>
        <w:rPr>
          <w:color w:val="000000"/>
          <w:lang w:eastAsia="en-GB"/>
        </w:rPr>
        <w:t>A</w:t>
      </w:r>
      <w:r w:rsidR="00174D0B">
        <w:rPr>
          <w:color w:val="000000"/>
          <w:lang w:eastAsia="en-GB"/>
        </w:rPr>
        <w:t>ccordingly a</w:t>
      </w:r>
      <w:r>
        <w:rPr>
          <w:color w:val="000000"/>
          <w:lang w:eastAsia="en-GB"/>
        </w:rPr>
        <w:t>s this table does not include the data set relating to ‘Assaults’ it cannot be considered a full and accurate response</w:t>
      </w:r>
      <w:r w:rsidR="00174D0B">
        <w:rPr>
          <w:color w:val="000000"/>
          <w:lang w:eastAsia="en-GB"/>
        </w:rPr>
        <w:t xml:space="preserve"> - and to </w:t>
      </w:r>
      <w:r>
        <w:rPr>
          <w:color w:val="000000"/>
          <w:lang w:eastAsia="en-GB"/>
        </w:rPr>
        <w:t xml:space="preserve">do so would increase the number of reports to 10’s of thousands, again far exceeding the cost limits of the Act. </w:t>
      </w:r>
    </w:p>
    <w:p w14:paraId="13F5B670" w14:textId="77777777" w:rsidR="00174D0B" w:rsidRPr="00174D0B" w:rsidRDefault="00174D0B" w:rsidP="00C57DA8">
      <w:pPr>
        <w:rPr>
          <w:b/>
          <w:bCs/>
          <w:color w:val="000000"/>
          <w:lang w:eastAsia="en-GB"/>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lastRenderedPageBreak/>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857EA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B6028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84013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85D8C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9DBD7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86024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75B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E23"/>
    <w:multiLevelType w:val="multilevel"/>
    <w:tmpl w:val="940C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E811AC"/>
    <w:multiLevelType w:val="multilevel"/>
    <w:tmpl w:val="573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6"/>
  </w:num>
  <w:num w:numId="3" w16cid:durableId="1175532872">
    <w:abstractNumId w:val="1"/>
  </w:num>
  <w:num w:numId="4" w16cid:durableId="286279427">
    <w:abstractNumId w:val="7"/>
  </w:num>
  <w:num w:numId="5" w16cid:durableId="1878201142">
    <w:abstractNumId w:val="3"/>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4"/>
  </w:num>
  <w:num w:numId="10" w16cid:durableId="503133310">
    <w:abstractNumId w:val="2"/>
  </w:num>
  <w:num w:numId="11" w16cid:durableId="1619413157">
    <w:abstractNumId w:val="11"/>
  </w:num>
  <w:num w:numId="12" w16cid:durableId="1900633814">
    <w:abstractNumId w:val="9"/>
  </w:num>
  <w:num w:numId="13" w16cid:durableId="708843973">
    <w:abstractNumId w:val="5"/>
  </w:num>
  <w:num w:numId="14" w16cid:durableId="131722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74D0B"/>
    <w:rsid w:val="00184E84"/>
    <w:rsid w:val="00195CC4"/>
    <w:rsid w:val="00201EA3"/>
    <w:rsid w:val="00253DF6"/>
    <w:rsid w:val="00255F1E"/>
    <w:rsid w:val="00285081"/>
    <w:rsid w:val="002C1F1E"/>
    <w:rsid w:val="002D05D0"/>
    <w:rsid w:val="00354652"/>
    <w:rsid w:val="0036503B"/>
    <w:rsid w:val="003D5169"/>
    <w:rsid w:val="003D6D03"/>
    <w:rsid w:val="003E12CA"/>
    <w:rsid w:val="003F2BCB"/>
    <w:rsid w:val="004010DC"/>
    <w:rsid w:val="0040137A"/>
    <w:rsid w:val="004341F0"/>
    <w:rsid w:val="0043796F"/>
    <w:rsid w:val="004415E6"/>
    <w:rsid w:val="00456324"/>
    <w:rsid w:val="00475460"/>
    <w:rsid w:val="00476421"/>
    <w:rsid w:val="00490317"/>
    <w:rsid w:val="00491644"/>
    <w:rsid w:val="00496A08"/>
    <w:rsid w:val="004A59F9"/>
    <w:rsid w:val="004E1605"/>
    <w:rsid w:val="004F4E24"/>
    <w:rsid w:val="004F653C"/>
    <w:rsid w:val="0050340A"/>
    <w:rsid w:val="00524696"/>
    <w:rsid w:val="00540A52"/>
    <w:rsid w:val="00542622"/>
    <w:rsid w:val="00557306"/>
    <w:rsid w:val="005816D1"/>
    <w:rsid w:val="005C0D87"/>
    <w:rsid w:val="005E6A4B"/>
    <w:rsid w:val="00663826"/>
    <w:rsid w:val="006B0CD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A25E93"/>
    <w:rsid w:val="00A320FF"/>
    <w:rsid w:val="00A648A5"/>
    <w:rsid w:val="00A67541"/>
    <w:rsid w:val="00A70AC0"/>
    <w:rsid w:val="00AC443C"/>
    <w:rsid w:val="00AD75EC"/>
    <w:rsid w:val="00B11A55"/>
    <w:rsid w:val="00B17211"/>
    <w:rsid w:val="00B239DF"/>
    <w:rsid w:val="00B461B2"/>
    <w:rsid w:val="00B575B9"/>
    <w:rsid w:val="00B71B3C"/>
    <w:rsid w:val="00B834DC"/>
    <w:rsid w:val="00BA2F48"/>
    <w:rsid w:val="00BC389E"/>
    <w:rsid w:val="00BE60AF"/>
    <w:rsid w:val="00BF6B81"/>
    <w:rsid w:val="00C077A8"/>
    <w:rsid w:val="00C56BF3"/>
    <w:rsid w:val="00C57DA8"/>
    <w:rsid w:val="00C606A2"/>
    <w:rsid w:val="00C63872"/>
    <w:rsid w:val="00C84948"/>
    <w:rsid w:val="00CF1111"/>
    <w:rsid w:val="00D05706"/>
    <w:rsid w:val="00D15491"/>
    <w:rsid w:val="00D2226F"/>
    <w:rsid w:val="00D27DC5"/>
    <w:rsid w:val="00D47E36"/>
    <w:rsid w:val="00D6014C"/>
    <w:rsid w:val="00D7589B"/>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33972369">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357436416">
      <w:bodyDiv w:val="1"/>
      <w:marLeft w:val="0"/>
      <w:marRight w:val="0"/>
      <w:marTop w:val="0"/>
      <w:marBottom w:val="0"/>
      <w:divBdr>
        <w:top w:val="none" w:sz="0" w:space="0" w:color="auto"/>
        <w:left w:val="none" w:sz="0" w:space="0" w:color="auto"/>
        <w:bottom w:val="none" w:sz="0" w:space="0" w:color="auto"/>
        <w:right w:val="none" w:sz="0" w:space="0" w:color="auto"/>
      </w:divBdr>
    </w:div>
    <w:div w:id="36301937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479196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45284159">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124705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899972262">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2024-11-19T10:41:00Z</cp:lastPrinted>
  <dcterms:created xsi:type="dcterms:W3CDTF">2024-11-18T11:23:00Z</dcterms:created>
  <dcterms:modified xsi:type="dcterms:W3CDTF">2024-11-19T10:42:00Z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