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442388" w:rsidR="00B17211" w:rsidRPr="00B17211" w:rsidRDefault="00B17211" w:rsidP="007F490F">
            <w:r w:rsidRPr="007F490F">
              <w:rPr>
                <w:rStyle w:val="Heading2Char"/>
              </w:rPr>
              <w:t>Our reference:</w:t>
            </w:r>
            <w:r>
              <w:t xml:space="preserve">  FOI 2</w:t>
            </w:r>
            <w:r w:rsidR="00B654B6">
              <w:t>4</w:t>
            </w:r>
            <w:r>
              <w:t>-</w:t>
            </w:r>
            <w:r w:rsidR="00DE6062">
              <w:t>3046</w:t>
            </w:r>
          </w:p>
          <w:p w14:paraId="34BDABA6" w14:textId="20402897" w:rsidR="00B17211" w:rsidRDefault="00456324" w:rsidP="00EE2373">
            <w:r w:rsidRPr="007F490F">
              <w:rPr>
                <w:rStyle w:val="Heading2Char"/>
              </w:rPr>
              <w:t>Respon</w:t>
            </w:r>
            <w:r w:rsidR="007D55F6">
              <w:rPr>
                <w:rStyle w:val="Heading2Char"/>
              </w:rPr>
              <w:t>ded to:</w:t>
            </w:r>
            <w:r w:rsidR="007F490F">
              <w:t xml:space="preserve">  </w:t>
            </w:r>
            <w:r w:rsidR="0008688D">
              <w:t>23</w:t>
            </w:r>
            <w:r w:rsidR="006D5799">
              <w:t xml:space="preserve"> </w:t>
            </w:r>
            <w:r w:rsidR="0060183F">
              <w:t>December</w:t>
            </w:r>
            <w:r>
              <w:t xml:space="preserve"> 202</w:t>
            </w:r>
            <w:r w:rsidR="00B654B6">
              <w:t>4</w:t>
            </w:r>
          </w:p>
        </w:tc>
      </w:tr>
    </w:tbl>
    <w:p w14:paraId="2D8DAF3C" w14:textId="43C1995A" w:rsidR="00DE6062" w:rsidRPr="00DE6062" w:rsidRDefault="00793DD5" w:rsidP="00DE6062">
      <w:pPr>
        <w:rPr>
          <w:b/>
        </w:rPr>
      </w:pPr>
      <w:r w:rsidRPr="00793DD5">
        <w:t xml:space="preserve">Your recent request for information is replicated below, together with </w:t>
      </w:r>
      <w:r w:rsidR="004341F0">
        <w:t>our</w:t>
      </w:r>
      <w:r w:rsidRPr="00793DD5">
        <w:t xml:space="preserve"> response.</w:t>
      </w:r>
    </w:p>
    <w:p w14:paraId="2F8859B4" w14:textId="25E267A2" w:rsidR="00DE6062" w:rsidRPr="00DE6062" w:rsidRDefault="00DE6062" w:rsidP="00DE6062">
      <w:pPr>
        <w:tabs>
          <w:tab w:val="left" w:pos="5400"/>
        </w:tabs>
        <w:rPr>
          <w:rFonts w:eastAsiaTheme="majorEastAsia" w:cstheme="majorBidi"/>
          <w:b/>
          <w:color w:val="000000" w:themeColor="text1"/>
          <w:szCs w:val="26"/>
        </w:rPr>
      </w:pPr>
      <w:r w:rsidRPr="00DE606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DE6062">
        <w:rPr>
          <w:rFonts w:eastAsiaTheme="majorEastAsia" w:cstheme="majorBidi"/>
          <w:b/>
          <w:color w:val="000000" w:themeColor="text1"/>
          <w:szCs w:val="26"/>
        </w:rPr>
        <w:t>The number of reports to Police of anti-social behaviour in Culross.</w:t>
      </w:r>
    </w:p>
    <w:p w14:paraId="1194586B" w14:textId="77777777" w:rsidR="00DE6062" w:rsidRDefault="00DE6062" w:rsidP="00DE6062">
      <w:pPr>
        <w:tabs>
          <w:tab w:val="left" w:pos="5400"/>
        </w:tabs>
        <w:rPr>
          <w:rFonts w:eastAsiaTheme="majorEastAsia" w:cstheme="majorBidi"/>
          <w:b/>
          <w:color w:val="000000" w:themeColor="text1"/>
          <w:szCs w:val="26"/>
        </w:rPr>
      </w:pPr>
      <w:r w:rsidRPr="00DE606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DE6062">
        <w:rPr>
          <w:rFonts w:eastAsiaTheme="majorEastAsia" w:cstheme="majorBidi"/>
          <w:b/>
          <w:color w:val="000000" w:themeColor="text1"/>
          <w:szCs w:val="26"/>
        </w:rPr>
        <w:t>I would like this complete data broken down into months for the year 2024 so far and the year 2023.</w:t>
      </w:r>
    </w:p>
    <w:p w14:paraId="40A9AE1A" w14:textId="7C5AFC12" w:rsidR="005E1EB9" w:rsidRPr="005E1EB9" w:rsidRDefault="005E1EB9" w:rsidP="005E1EB9">
      <w:pPr>
        <w:pStyle w:val="Default"/>
      </w:pPr>
      <w:bookmarkStart w:id="0" w:name="_Hlk185090787"/>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bookmarkEnd w:id="0"/>
    </w:p>
    <w:p w14:paraId="2E788BA1" w14:textId="73D42E55" w:rsidR="00650C4A" w:rsidRDefault="00650C4A" w:rsidP="00793DD5">
      <w:pPr>
        <w:tabs>
          <w:tab w:val="left" w:pos="5400"/>
        </w:tabs>
      </w:pPr>
      <w:r>
        <w:t>We have carried out a search of our STORM incident recording system for any incidents related to Anti-Social Behaviour for Police Beat 1A, Fife Division between 1</w:t>
      </w:r>
      <w:r w:rsidRPr="00650C4A">
        <w:rPr>
          <w:vertAlign w:val="superscript"/>
        </w:rPr>
        <w:t>st</w:t>
      </w:r>
      <w:r>
        <w:t xml:space="preserve"> January 2023 – 30</w:t>
      </w:r>
      <w:r w:rsidRPr="00650C4A">
        <w:rPr>
          <w:vertAlign w:val="superscript"/>
        </w:rPr>
        <w:t>th</w:t>
      </w:r>
      <w:r>
        <w:t xml:space="preserve"> November 2024.</w:t>
      </w:r>
    </w:p>
    <w:p w14:paraId="2136A7BD" w14:textId="28BDA5AD" w:rsidR="00650C4A" w:rsidRDefault="00650C4A" w:rsidP="00793DD5">
      <w:pPr>
        <w:tabs>
          <w:tab w:val="left" w:pos="5400"/>
        </w:tabs>
      </w:pPr>
      <w:r>
        <w:t xml:space="preserve">A further assessment of this data was carried out to only include incidents recorded to have occurred in Culross, Fife. </w:t>
      </w:r>
      <w:r w:rsidR="005E1EB9">
        <w:t>These figures have been provided in the table below.</w:t>
      </w:r>
    </w:p>
    <w:p w14:paraId="18E3D5A5" w14:textId="44464EA9" w:rsidR="00650C4A" w:rsidRDefault="00650C4A" w:rsidP="00793DD5">
      <w:pPr>
        <w:tabs>
          <w:tab w:val="left" w:pos="5400"/>
        </w:tabs>
      </w:pPr>
      <w:r>
        <w:t xml:space="preserve">Please also note caveats below the table. </w:t>
      </w:r>
    </w:p>
    <w:p w14:paraId="34BDABAB" w14:textId="249882B0" w:rsidR="00255F1E" w:rsidRPr="00650C4A" w:rsidRDefault="00650C4A" w:rsidP="00793DD5">
      <w:pPr>
        <w:tabs>
          <w:tab w:val="left" w:pos="5400"/>
        </w:tabs>
        <w:rPr>
          <w:i/>
          <w:iCs/>
        </w:rPr>
      </w:pPr>
      <w:r w:rsidRPr="00650C4A">
        <w:rPr>
          <w:i/>
          <w:iCs/>
        </w:rPr>
        <w:t>Table: Recorded Anti-Social Behaviour Related Storm Incidents – Culross, Fife Division – 01/01/2023 – 30/11/2024.</w:t>
      </w:r>
    </w:p>
    <w:tbl>
      <w:tblPr>
        <w:tblStyle w:val="TableGrid"/>
        <w:tblW w:w="5779" w:type="dxa"/>
        <w:tblInd w:w="5" w:type="dxa"/>
        <w:tblLook w:val="04A0" w:firstRow="1" w:lastRow="0" w:firstColumn="1" w:lastColumn="0" w:noHBand="0" w:noVBand="1"/>
        <w:tblCaption w:val="Table: Recorded Anti-Social Behaviour Related Storm Incidents – Culross, Fife Division – 01/01/2023 – 30/11/2024."/>
        <w:tblDescription w:val="Table: Recorded Anti-Social Behaviour Related Storm Incidents – Culross, Fife Division – 01/01/2023 – 30/11/2024."/>
      </w:tblPr>
      <w:tblGrid>
        <w:gridCol w:w="2590"/>
        <w:gridCol w:w="763"/>
        <w:gridCol w:w="790"/>
        <w:gridCol w:w="15"/>
        <w:gridCol w:w="801"/>
        <w:gridCol w:w="805"/>
        <w:gridCol w:w="15"/>
      </w:tblGrid>
      <w:tr w:rsidR="00650C4A" w:rsidRPr="00557306" w14:paraId="54647FEE" w14:textId="77777777" w:rsidTr="00650C4A">
        <w:trPr>
          <w:tblHeader/>
        </w:trPr>
        <w:tc>
          <w:tcPr>
            <w:tcW w:w="2590" w:type="dxa"/>
            <w:tcBorders>
              <w:top w:val="nil"/>
              <w:left w:val="nil"/>
            </w:tcBorders>
            <w:shd w:val="clear" w:color="auto" w:fill="auto"/>
          </w:tcPr>
          <w:p w14:paraId="5279BE74" w14:textId="77777777" w:rsidR="00650C4A" w:rsidRPr="00557306" w:rsidRDefault="00650C4A" w:rsidP="00B654B6">
            <w:pPr>
              <w:spacing w:line="276" w:lineRule="auto"/>
              <w:rPr>
                <w:b/>
              </w:rPr>
            </w:pPr>
          </w:p>
        </w:tc>
        <w:tc>
          <w:tcPr>
            <w:tcW w:w="1568" w:type="dxa"/>
            <w:gridSpan w:val="3"/>
            <w:shd w:val="clear" w:color="auto" w:fill="D9D9D9" w:themeFill="background1" w:themeFillShade="D9"/>
          </w:tcPr>
          <w:p w14:paraId="59640DFB" w14:textId="0EDF0637" w:rsidR="00650C4A" w:rsidRPr="00557306" w:rsidRDefault="00650C4A" w:rsidP="00650C4A">
            <w:pPr>
              <w:spacing w:line="276" w:lineRule="auto"/>
              <w:jc w:val="center"/>
              <w:rPr>
                <w:b/>
              </w:rPr>
            </w:pPr>
            <w:r>
              <w:rPr>
                <w:b/>
              </w:rPr>
              <w:t>2023</w:t>
            </w:r>
          </w:p>
        </w:tc>
        <w:tc>
          <w:tcPr>
            <w:tcW w:w="1621" w:type="dxa"/>
            <w:gridSpan w:val="3"/>
            <w:shd w:val="clear" w:color="auto" w:fill="D9D9D9" w:themeFill="background1" w:themeFillShade="D9"/>
          </w:tcPr>
          <w:p w14:paraId="3B33FC58" w14:textId="6CF02219" w:rsidR="00650C4A" w:rsidRPr="00650C4A" w:rsidRDefault="00650C4A" w:rsidP="00650C4A">
            <w:pPr>
              <w:spacing w:line="276" w:lineRule="auto"/>
              <w:jc w:val="center"/>
              <w:rPr>
                <w:b/>
              </w:rPr>
            </w:pPr>
            <w:r w:rsidRPr="00650C4A">
              <w:rPr>
                <w:b/>
              </w:rPr>
              <w:t>2024</w:t>
            </w:r>
          </w:p>
        </w:tc>
      </w:tr>
      <w:tr w:rsidR="00557306" w:rsidRPr="00557306" w14:paraId="34BDABB1" w14:textId="77777777" w:rsidTr="00650C4A">
        <w:trPr>
          <w:gridAfter w:val="1"/>
          <w:wAfter w:w="15" w:type="dxa"/>
          <w:tblHeader/>
        </w:trPr>
        <w:tc>
          <w:tcPr>
            <w:tcW w:w="2590" w:type="dxa"/>
            <w:shd w:val="clear" w:color="auto" w:fill="D9D9D9" w:themeFill="background1" w:themeFillShade="D9"/>
          </w:tcPr>
          <w:p w14:paraId="34BDABAC" w14:textId="388EFC96" w:rsidR="00557306" w:rsidRPr="00557306" w:rsidRDefault="00650C4A" w:rsidP="00B654B6">
            <w:pPr>
              <w:spacing w:line="276" w:lineRule="auto"/>
              <w:rPr>
                <w:b/>
              </w:rPr>
            </w:pPr>
            <w:r>
              <w:rPr>
                <w:b/>
              </w:rPr>
              <w:t>Initial Incident Type</w:t>
            </w:r>
          </w:p>
        </w:tc>
        <w:tc>
          <w:tcPr>
            <w:tcW w:w="763" w:type="dxa"/>
            <w:shd w:val="clear" w:color="auto" w:fill="D9D9D9" w:themeFill="background1" w:themeFillShade="D9"/>
          </w:tcPr>
          <w:p w14:paraId="34BDABAD" w14:textId="34299136" w:rsidR="00557306" w:rsidRPr="00557306" w:rsidRDefault="00650C4A" w:rsidP="00650C4A">
            <w:pPr>
              <w:spacing w:line="276" w:lineRule="auto"/>
              <w:jc w:val="center"/>
              <w:rPr>
                <w:b/>
              </w:rPr>
            </w:pPr>
            <w:r>
              <w:rPr>
                <w:b/>
              </w:rPr>
              <w:t>Apr</w:t>
            </w:r>
          </w:p>
        </w:tc>
        <w:tc>
          <w:tcPr>
            <w:tcW w:w="790" w:type="dxa"/>
            <w:shd w:val="clear" w:color="auto" w:fill="D9D9D9" w:themeFill="background1" w:themeFillShade="D9"/>
          </w:tcPr>
          <w:p w14:paraId="34BDABAE" w14:textId="7B9612F9" w:rsidR="00557306" w:rsidRPr="00557306" w:rsidRDefault="00650C4A" w:rsidP="00650C4A">
            <w:pPr>
              <w:spacing w:line="276" w:lineRule="auto"/>
              <w:jc w:val="center"/>
              <w:rPr>
                <w:b/>
              </w:rPr>
            </w:pPr>
            <w:r>
              <w:rPr>
                <w:b/>
              </w:rPr>
              <w:t>Sep</w:t>
            </w:r>
          </w:p>
        </w:tc>
        <w:tc>
          <w:tcPr>
            <w:tcW w:w="816" w:type="dxa"/>
            <w:gridSpan w:val="2"/>
            <w:shd w:val="clear" w:color="auto" w:fill="D9D9D9" w:themeFill="background1" w:themeFillShade="D9"/>
          </w:tcPr>
          <w:p w14:paraId="34BDABAF" w14:textId="01F258E9" w:rsidR="00557306" w:rsidRPr="00557306" w:rsidRDefault="00650C4A" w:rsidP="00650C4A">
            <w:pPr>
              <w:spacing w:line="276" w:lineRule="auto"/>
              <w:jc w:val="center"/>
              <w:rPr>
                <w:b/>
              </w:rPr>
            </w:pPr>
            <w:r>
              <w:rPr>
                <w:b/>
              </w:rPr>
              <w:t>Aug</w:t>
            </w:r>
          </w:p>
        </w:tc>
        <w:tc>
          <w:tcPr>
            <w:tcW w:w="805" w:type="dxa"/>
            <w:shd w:val="clear" w:color="auto" w:fill="D9D9D9" w:themeFill="background1" w:themeFillShade="D9"/>
          </w:tcPr>
          <w:p w14:paraId="34BDABB0" w14:textId="3017457E" w:rsidR="00557306" w:rsidRPr="00557306" w:rsidRDefault="00650C4A" w:rsidP="00650C4A">
            <w:pPr>
              <w:spacing w:line="276" w:lineRule="auto"/>
              <w:jc w:val="center"/>
              <w:rPr>
                <w:b/>
              </w:rPr>
            </w:pPr>
            <w:r>
              <w:rPr>
                <w:b/>
              </w:rPr>
              <w:t>Nov</w:t>
            </w:r>
          </w:p>
        </w:tc>
      </w:tr>
      <w:tr w:rsidR="00557306" w14:paraId="34BDABB7" w14:textId="77777777" w:rsidTr="00650C4A">
        <w:trPr>
          <w:gridAfter w:val="1"/>
          <w:wAfter w:w="15" w:type="dxa"/>
        </w:trPr>
        <w:tc>
          <w:tcPr>
            <w:tcW w:w="2590" w:type="dxa"/>
          </w:tcPr>
          <w:p w14:paraId="34BDABB2" w14:textId="43DA9CD1" w:rsidR="00557306" w:rsidRDefault="00650C4A" w:rsidP="00B654B6">
            <w:pPr>
              <w:tabs>
                <w:tab w:val="left" w:pos="5400"/>
              </w:tabs>
              <w:spacing w:line="276" w:lineRule="auto"/>
            </w:pPr>
            <w:r>
              <w:t>Public Nuisance</w:t>
            </w:r>
            <w:r w:rsidR="00557306">
              <w:t xml:space="preserve"> </w:t>
            </w:r>
          </w:p>
        </w:tc>
        <w:tc>
          <w:tcPr>
            <w:tcW w:w="763" w:type="dxa"/>
          </w:tcPr>
          <w:p w14:paraId="34BDABB3" w14:textId="12004A1F" w:rsidR="00557306" w:rsidRDefault="00650C4A" w:rsidP="00650C4A">
            <w:pPr>
              <w:tabs>
                <w:tab w:val="left" w:pos="5400"/>
              </w:tabs>
              <w:spacing w:line="276" w:lineRule="auto"/>
              <w:jc w:val="center"/>
            </w:pPr>
            <w:r>
              <w:t>1</w:t>
            </w:r>
          </w:p>
        </w:tc>
        <w:tc>
          <w:tcPr>
            <w:tcW w:w="790" w:type="dxa"/>
          </w:tcPr>
          <w:p w14:paraId="34BDABB4" w14:textId="146A7EED" w:rsidR="00557306" w:rsidRDefault="00650C4A" w:rsidP="00650C4A">
            <w:pPr>
              <w:tabs>
                <w:tab w:val="left" w:pos="5400"/>
              </w:tabs>
              <w:spacing w:line="276" w:lineRule="auto"/>
              <w:jc w:val="center"/>
            </w:pPr>
            <w:r>
              <w:t>0</w:t>
            </w:r>
          </w:p>
        </w:tc>
        <w:tc>
          <w:tcPr>
            <w:tcW w:w="816" w:type="dxa"/>
            <w:gridSpan w:val="2"/>
          </w:tcPr>
          <w:p w14:paraId="34BDABB5" w14:textId="4F95BDFE" w:rsidR="00557306" w:rsidRDefault="00650C4A" w:rsidP="00650C4A">
            <w:pPr>
              <w:tabs>
                <w:tab w:val="left" w:pos="5400"/>
              </w:tabs>
              <w:spacing w:line="276" w:lineRule="auto"/>
              <w:jc w:val="center"/>
            </w:pPr>
            <w:r>
              <w:t>1</w:t>
            </w:r>
          </w:p>
        </w:tc>
        <w:tc>
          <w:tcPr>
            <w:tcW w:w="805" w:type="dxa"/>
          </w:tcPr>
          <w:p w14:paraId="34BDABB6" w14:textId="1780700C" w:rsidR="00557306" w:rsidRDefault="00650C4A" w:rsidP="00650C4A">
            <w:pPr>
              <w:tabs>
                <w:tab w:val="left" w:pos="5400"/>
              </w:tabs>
              <w:spacing w:line="276" w:lineRule="auto"/>
              <w:jc w:val="center"/>
            </w:pPr>
            <w:r>
              <w:t>1</w:t>
            </w:r>
          </w:p>
        </w:tc>
      </w:tr>
      <w:tr w:rsidR="00650C4A" w14:paraId="5A7529B0" w14:textId="77777777" w:rsidTr="00650C4A">
        <w:trPr>
          <w:gridAfter w:val="1"/>
          <w:wAfter w:w="15" w:type="dxa"/>
        </w:trPr>
        <w:tc>
          <w:tcPr>
            <w:tcW w:w="2590" w:type="dxa"/>
          </w:tcPr>
          <w:p w14:paraId="08408C4F" w14:textId="280CA839" w:rsidR="00650C4A" w:rsidRDefault="00650C4A" w:rsidP="00B654B6">
            <w:pPr>
              <w:tabs>
                <w:tab w:val="left" w:pos="5400"/>
              </w:tabs>
              <w:spacing w:line="276" w:lineRule="auto"/>
            </w:pPr>
            <w:r>
              <w:t>Damage</w:t>
            </w:r>
          </w:p>
        </w:tc>
        <w:tc>
          <w:tcPr>
            <w:tcW w:w="763" w:type="dxa"/>
          </w:tcPr>
          <w:p w14:paraId="2F53649A" w14:textId="355730A9" w:rsidR="00650C4A" w:rsidRDefault="00650C4A" w:rsidP="00650C4A">
            <w:pPr>
              <w:tabs>
                <w:tab w:val="left" w:pos="5400"/>
              </w:tabs>
              <w:spacing w:line="276" w:lineRule="auto"/>
              <w:jc w:val="center"/>
            </w:pPr>
            <w:r>
              <w:t>0</w:t>
            </w:r>
          </w:p>
        </w:tc>
        <w:tc>
          <w:tcPr>
            <w:tcW w:w="790" w:type="dxa"/>
          </w:tcPr>
          <w:p w14:paraId="2D4740BD" w14:textId="6CF294FD" w:rsidR="00650C4A" w:rsidRDefault="00650C4A" w:rsidP="00650C4A">
            <w:pPr>
              <w:tabs>
                <w:tab w:val="left" w:pos="5400"/>
              </w:tabs>
              <w:spacing w:line="276" w:lineRule="auto"/>
              <w:jc w:val="center"/>
            </w:pPr>
            <w:r>
              <w:t>1</w:t>
            </w:r>
          </w:p>
        </w:tc>
        <w:tc>
          <w:tcPr>
            <w:tcW w:w="816" w:type="dxa"/>
            <w:gridSpan w:val="2"/>
          </w:tcPr>
          <w:p w14:paraId="218B4F81" w14:textId="314AA6B2" w:rsidR="00650C4A" w:rsidRDefault="00650C4A" w:rsidP="00650C4A">
            <w:pPr>
              <w:tabs>
                <w:tab w:val="left" w:pos="5400"/>
              </w:tabs>
              <w:spacing w:line="276" w:lineRule="auto"/>
              <w:jc w:val="center"/>
            </w:pPr>
            <w:r>
              <w:t>0</w:t>
            </w:r>
          </w:p>
        </w:tc>
        <w:tc>
          <w:tcPr>
            <w:tcW w:w="805" w:type="dxa"/>
          </w:tcPr>
          <w:p w14:paraId="7875CE38" w14:textId="17E9CD03" w:rsidR="00650C4A" w:rsidRDefault="00650C4A" w:rsidP="00650C4A">
            <w:pPr>
              <w:tabs>
                <w:tab w:val="left" w:pos="5400"/>
              </w:tabs>
              <w:spacing w:line="276" w:lineRule="auto"/>
              <w:jc w:val="center"/>
            </w:pPr>
            <w:r>
              <w:t>1</w:t>
            </w:r>
          </w:p>
        </w:tc>
      </w:tr>
      <w:tr w:rsidR="00650C4A" w14:paraId="2C5F95F4" w14:textId="77777777" w:rsidTr="00650C4A">
        <w:trPr>
          <w:gridAfter w:val="1"/>
          <w:wAfter w:w="15" w:type="dxa"/>
        </w:trPr>
        <w:tc>
          <w:tcPr>
            <w:tcW w:w="2590" w:type="dxa"/>
          </w:tcPr>
          <w:p w14:paraId="1F2322FB" w14:textId="6E28F3CB" w:rsidR="00650C4A" w:rsidRPr="00650C4A" w:rsidRDefault="00650C4A" w:rsidP="00B654B6">
            <w:pPr>
              <w:tabs>
                <w:tab w:val="left" w:pos="5400"/>
              </w:tabs>
              <w:spacing w:line="276" w:lineRule="auto"/>
              <w:rPr>
                <w:b/>
                <w:bCs/>
              </w:rPr>
            </w:pPr>
            <w:r w:rsidRPr="00650C4A">
              <w:rPr>
                <w:b/>
                <w:bCs/>
              </w:rPr>
              <w:t>Total</w:t>
            </w:r>
          </w:p>
        </w:tc>
        <w:tc>
          <w:tcPr>
            <w:tcW w:w="763" w:type="dxa"/>
          </w:tcPr>
          <w:p w14:paraId="2201B3A7" w14:textId="7F6AB777" w:rsidR="00650C4A" w:rsidRPr="00650C4A" w:rsidRDefault="00650C4A" w:rsidP="00650C4A">
            <w:pPr>
              <w:tabs>
                <w:tab w:val="left" w:pos="5400"/>
              </w:tabs>
              <w:spacing w:line="276" w:lineRule="auto"/>
              <w:jc w:val="center"/>
              <w:rPr>
                <w:b/>
                <w:bCs/>
              </w:rPr>
            </w:pPr>
            <w:r>
              <w:rPr>
                <w:b/>
                <w:bCs/>
              </w:rPr>
              <w:t>1</w:t>
            </w:r>
          </w:p>
        </w:tc>
        <w:tc>
          <w:tcPr>
            <w:tcW w:w="790" w:type="dxa"/>
          </w:tcPr>
          <w:p w14:paraId="3655D78C" w14:textId="3C0D4618" w:rsidR="00650C4A" w:rsidRPr="00650C4A" w:rsidRDefault="00650C4A" w:rsidP="00650C4A">
            <w:pPr>
              <w:tabs>
                <w:tab w:val="left" w:pos="5400"/>
              </w:tabs>
              <w:spacing w:line="276" w:lineRule="auto"/>
              <w:jc w:val="center"/>
              <w:rPr>
                <w:b/>
                <w:bCs/>
              </w:rPr>
            </w:pPr>
            <w:r>
              <w:rPr>
                <w:b/>
                <w:bCs/>
              </w:rPr>
              <w:t>1</w:t>
            </w:r>
          </w:p>
        </w:tc>
        <w:tc>
          <w:tcPr>
            <w:tcW w:w="816" w:type="dxa"/>
            <w:gridSpan w:val="2"/>
          </w:tcPr>
          <w:p w14:paraId="163AF373" w14:textId="6446D5EB" w:rsidR="00650C4A" w:rsidRPr="00650C4A" w:rsidRDefault="00650C4A" w:rsidP="00650C4A">
            <w:pPr>
              <w:tabs>
                <w:tab w:val="left" w:pos="5400"/>
              </w:tabs>
              <w:spacing w:line="276" w:lineRule="auto"/>
              <w:jc w:val="center"/>
              <w:rPr>
                <w:b/>
                <w:bCs/>
              </w:rPr>
            </w:pPr>
            <w:r>
              <w:rPr>
                <w:b/>
                <w:bCs/>
              </w:rPr>
              <w:t>1</w:t>
            </w:r>
          </w:p>
        </w:tc>
        <w:tc>
          <w:tcPr>
            <w:tcW w:w="805" w:type="dxa"/>
          </w:tcPr>
          <w:p w14:paraId="6E9A313B" w14:textId="0C8971FD" w:rsidR="00650C4A" w:rsidRPr="00650C4A" w:rsidRDefault="00650C4A" w:rsidP="00650C4A">
            <w:pPr>
              <w:tabs>
                <w:tab w:val="left" w:pos="5400"/>
              </w:tabs>
              <w:spacing w:line="276" w:lineRule="auto"/>
              <w:jc w:val="center"/>
              <w:rPr>
                <w:b/>
                <w:bCs/>
              </w:rPr>
            </w:pPr>
            <w:r>
              <w:rPr>
                <w:b/>
                <w:bCs/>
              </w:rPr>
              <w:t>2</w:t>
            </w:r>
          </w:p>
        </w:tc>
      </w:tr>
    </w:tbl>
    <w:p w14:paraId="3167E002" w14:textId="77777777" w:rsidR="00650C4A" w:rsidRPr="00650C4A" w:rsidRDefault="00650C4A" w:rsidP="00650C4A">
      <w:pPr>
        <w:tabs>
          <w:tab w:val="left" w:pos="5400"/>
        </w:tabs>
        <w:rPr>
          <w:i/>
          <w:iCs/>
        </w:rPr>
      </w:pPr>
      <w:r w:rsidRPr="00650C4A">
        <w:rPr>
          <w:i/>
          <w:iCs/>
        </w:rPr>
        <w:lastRenderedPageBreak/>
        <w:t>All statistics are provisional and should be treated as management information. All data have been extracted from Police Scotland internal systems and are correct as at 18th December 2024.</w:t>
      </w:r>
      <w:r w:rsidRPr="00650C4A">
        <w:rPr>
          <w:i/>
          <w:iCs/>
        </w:rPr>
        <w:tab/>
      </w:r>
      <w:r w:rsidRPr="00650C4A">
        <w:rPr>
          <w:i/>
          <w:iCs/>
        </w:rPr>
        <w:tab/>
      </w:r>
      <w:r w:rsidRPr="00650C4A">
        <w:rPr>
          <w:i/>
          <w:iCs/>
        </w:rPr>
        <w:tab/>
      </w:r>
      <w:r w:rsidRPr="00650C4A">
        <w:rPr>
          <w:i/>
          <w:iCs/>
        </w:rPr>
        <w:tab/>
      </w:r>
      <w:r w:rsidRPr="00650C4A">
        <w:rPr>
          <w:i/>
          <w:iCs/>
        </w:rPr>
        <w:tab/>
      </w:r>
      <w:r w:rsidRPr="00650C4A">
        <w:rPr>
          <w:i/>
          <w:iCs/>
        </w:rPr>
        <w:tab/>
      </w:r>
      <w:r w:rsidRPr="00650C4A">
        <w:rPr>
          <w:i/>
          <w:iCs/>
        </w:rPr>
        <w:tab/>
      </w:r>
    </w:p>
    <w:p w14:paraId="79FA246F" w14:textId="579605C3" w:rsidR="00650C4A" w:rsidRPr="00650C4A" w:rsidRDefault="00650C4A" w:rsidP="00650C4A">
      <w:pPr>
        <w:tabs>
          <w:tab w:val="left" w:pos="5400"/>
        </w:tabs>
        <w:rPr>
          <w:i/>
          <w:iCs/>
        </w:rPr>
      </w:pPr>
      <w:r w:rsidRPr="00650C4A">
        <w:rPr>
          <w:i/>
          <w:iCs/>
        </w:rPr>
        <w:t>1. The data was extracted using the incident's raised date and selecting Initial Incident Types relating to Anti-Social Behaviour: --'CR-78','AB-24','AB-28','AB-53','AB-55','AB-56','AB-57' within City Abbreviation - 'Culross'</w:t>
      </w:r>
      <w:r w:rsidRPr="00650C4A">
        <w:rPr>
          <w:i/>
          <w:iCs/>
        </w:rPr>
        <w:tab/>
      </w:r>
      <w:r w:rsidRPr="00650C4A">
        <w:rPr>
          <w:i/>
          <w:iCs/>
        </w:rPr>
        <w:tab/>
      </w:r>
      <w:r w:rsidRPr="00650C4A">
        <w:rPr>
          <w:i/>
          <w:iCs/>
        </w:rPr>
        <w:tab/>
      </w:r>
      <w:r w:rsidRPr="00650C4A">
        <w:rPr>
          <w:i/>
          <w:iCs/>
        </w:rPr>
        <w:tab/>
      </w:r>
      <w:r w:rsidRPr="00650C4A">
        <w:rPr>
          <w:i/>
          <w:iCs/>
        </w:rPr>
        <w:tab/>
      </w:r>
      <w:r w:rsidRPr="00650C4A">
        <w:rPr>
          <w:i/>
          <w:iCs/>
        </w:rPr>
        <w:tab/>
      </w:r>
      <w:r w:rsidRPr="00650C4A">
        <w:rPr>
          <w:i/>
          <w:iCs/>
        </w:rPr>
        <w:tab/>
      </w:r>
    </w:p>
    <w:p w14:paraId="3066DCAE" w14:textId="514FB5B1" w:rsidR="00650C4A" w:rsidRPr="00650C4A" w:rsidRDefault="00650C4A" w:rsidP="00650C4A">
      <w:pPr>
        <w:tabs>
          <w:tab w:val="left" w:pos="5400"/>
        </w:tabs>
        <w:rPr>
          <w:i/>
          <w:iCs/>
        </w:rPr>
      </w:pPr>
      <w:r w:rsidRPr="00650C4A">
        <w:rPr>
          <w:i/>
          <w:iCs/>
        </w:rPr>
        <w:t>2. Out of Force incidents and error incidents have been removed.</w:t>
      </w:r>
      <w:r w:rsidRPr="00650C4A">
        <w:rPr>
          <w:i/>
          <w:iCs/>
        </w:rPr>
        <w:tab/>
      </w:r>
      <w:r w:rsidRPr="00650C4A">
        <w:rPr>
          <w:i/>
          <w:iCs/>
        </w:rPr>
        <w:tab/>
      </w:r>
      <w:r w:rsidRPr="00650C4A">
        <w:rPr>
          <w:i/>
          <w:iCs/>
        </w:rPr>
        <w:tab/>
      </w:r>
    </w:p>
    <w:p w14:paraId="34BDABBD" w14:textId="6F48A786" w:rsidR="00BF6B81" w:rsidRPr="00B11A55" w:rsidRDefault="00650C4A" w:rsidP="00793DD5">
      <w:pPr>
        <w:tabs>
          <w:tab w:val="left" w:pos="5400"/>
        </w:tabs>
      </w:pPr>
      <w:r w:rsidRPr="00650C4A">
        <w:rPr>
          <w:i/>
          <w:iCs/>
        </w:rPr>
        <w:t>3. Please note, the data relates to all ASB Storm Incidents (and not only the public reported ASB incidents).</w:t>
      </w:r>
      <w:r>
        <w:tab/>
      </w:r>
      <w:r>
        <w:tab/>
      </w:r>
      <w:r>
        <w:tab/>
      </w:r>
      <w:r>
        <w:tab/>
      </w:r>
      <w:r>
        <w:tab/>
      </w:r>
      <w:r>
        <w:tab/>
      </w:r>
      <w:r>
        <w:tab/>
      </w:r>
      <w:r>
        <w:tab/>
      </w:r>
      <w:r>
        <w:tab/>
      </w:r>
      <w:r>
        <w:tab/>
      </w:r>
      <w:r>
        <w:tab/>
      </w:r>
      <w:r>
        <w:tab/>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1689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1306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04A4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329C0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81DE2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E8346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688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88D"/>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61F1"/>
    <w:rsid w:val="00540A52"/>
    <w:rsid w:val="00557306"/>
    <w:rsid w:val="005E1EB9"/>
    <w:rsid w:val="0060183F"/>
    <w:rsid w:val="00610535"/>
    <w:rsid w:val="00645CFA"/>
    <w:rsid w:val="00650C4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15E01"/>
    <w:rsid w:val="009631A4"/>
    <w:rsid w:val="00977296"/>
    <w:rsid w:val="009846AA"/>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A43DB"/>
    <w:rsid w:val="00CB3707"/>
    <w:rsid w:val="00CC705D"/>
    <w:rsid w:val="00CD0C53"/>
    <w:rsid w:val="00CF1111"/>
    <w:rsid w:val="00D05706"/>
    <w:rsid w:val="00D27DC5"/>
    <w:rsid w:val="00D44B13"/>
    <w:rsid w:val="00D47E36"/>
    <w:rsid w:val="00D7784F"/>
    <w:rsid w:val="00DE6062"/>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8605">
      <w:bodyDiv w:val="1"/>
      <w:marLeft w:val="0"/>
      <w:marRight w:val="0"/>
      <w:marTop w:val="0"/>
      <w:marBottom w:val="0"/>
      <w:divBdr>
        <w:top w:val="none" w:sz="0" w:space="0" w:color="auto"/>
        <w:left w:val="none" w:sz="0" w:space="0" w:color="auto"/>
        <w:bottom w:val="none" w:sz="0" w:space="0" w:color="auto"/>
        <w:right w:val="none" w:sz="0" w:space="0" w:color="auto"/>
      </w:divBdr>
    </w:div>
    <w:div w:id="1686053507">
      <w:bodyDiv w:val="1"/>
      <w:marLeft w:val="0"/>
      <w:marRight w:val="0"/>
      <w:marTop w:val="0"/>
      <w:marBottom w:val="0"/>
      <w:divBdr>
        <w:top w:val="none" w:sz="0" w:space="0" w:color="auto"/>
        <w:left w:val="none" w:sz="0" w:space="0" w:color="auto"/>
        <w:bottom w:val="none" w:sz="0" w:space="0" w:color="auto"/>
        <w:right w:val="none" w:sz="0" w:space="0" w:color="auto"/>
      </w:divBdr>
    </w:div>
    <w:div w:id="20485550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493</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