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E6F2B9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5616A">
              <w:t>2411</w:t>
            </w:r>
          </w:p>
          <w:p w14:paraId="34BDABA6" w14:textId="7B384CF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5616A">
              <w:t>1</w:t>
            </w:r>
            <w:r w:rsidR="00052BC5">
              <w:t>8</w:t>
            </w:r>
            <w:r w:rsidR="00D5616A">
              <w:t xml:space="preserve"> October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6C73345" w14:textId="77777777" w:rsidR="00D5616A" w:rsidRPr="00D5616A" w:rsidRDefault="00D5616A" w:rsidP="00D5616A">
      <w:pPr>
        <w:pStyle w:val="Heading2"/>
      </w:pPr>
      <w:r w:rsidRPr="00D5616A">
        <w:t>1 - The number of recorded crimes for Stalking offences under the HOCR codes of 008/65 and 008/66 where the victim is recorded as a male - between 01/01/2019 to 20/09/2024 </w:t>
      </w:r>
    </w:p>
    <w:p w14:paraId="6D5398A3" w14:textId="701019C8" w:rsidR="00E3494A" w:rsidRDefault="00D5616A" w:rsidP="00E3494A">
      <w:r w:rsidRPr="00D5616A">
        <w:t> </w:t>
      </w:r>
      <w:r w:rsidR="00E3494A">
        <w:t>I have provided, at the end of this letter, the number of recorded and detected crimes for stalking</w:t>
      </w:r>
      <w:r w:rsidR="007F16A4">
        <w:t xml:space="preserve">. </w:t>
      </w:r>
    </w:p>
    <w:p w14:paraId="6306C5EA" w14:textId="047F9B30" w:rsidR="00D5616A" w:rsidRPr="00D5616A" w:rsidRDefault="00E3494A" w:rsidP="00E3494A">
      <w:r>
        <w:t>Please note that Home Office crime codes are not applicable in Scotland and as such Scottish Government Justice Department</w:t>
      </w:r>
      <w:r w:rsidR="004F4903">
        <w:t xml:space="preserve"> crime classification</w:t>
      </w:r>
      <w:r w:rsidR="007F16A4">
        <w:t xml:space="preserve"> - </w:t>
      </w:r>
      <w:r w:rsidR="007F16A4" w:rsidRPr="007F16A4">
        <w:rPr>
          <w:rFonts w:eastAsia="Times New Roman"/>
          <w:color w:val="000000"/>
          <w:lang w:eastAsia="en-GB"/>
        </w:rPr>
        <w:t>101114 - Stalking</w:t>
      </w:r>
      <w:r w:rsidR="007F16A4">
        <w:t xml:space="preserve"> </w:t>
      </w:r>
      <w:r w:rsidR="004F4903">
        <w:t>ha</w:t>
      </w:r>
      <w:r w:rsidR="007F16A4">
        <w:t>s</w:t>
      </w:r>
      <w:r w:rsidR="004F4903">
        <w:t xml:space="preserve"> been used.</w:t>
      </w:r>
    </w:p>
    <w:p w14:paraId="15E398C6" w14:textId="77777777" w:rsidR="00D5616A" w:rsidRPr="00D5616A" w:rsidRDefault="00D5616A" w:rsidP="00D5616A">
      <w:pPr>
        <w:pStyle w:val="Heading2"/>
      </w:pPr>
      <w:r w:rsidRPr="00D5616A">
        <w:t>2 - Please provide the number of suspects for the above offences by age and gender</w:t>
      </w:r>
    </w:p>
    <w:p w14:paraId="7D7FBC43" w14:textId="77777777" w:rsidR="00893CCE" w:rsidRDefault="00893CCE" w:rsidP="00893CCE">
      <w:r>
        <w:t>I regret to inform you that I am unable to provide you with the information you have requested, as it would prove too costly to do so within the context of the fee regulations.</w:t>
      </w:r>
    </w:p>
    <w:p w14:paraId="75A06BDE" w14:textId="77777777" w:rsidR="00893CCE" w:rsidRDefault="00893CCE" w:rsidP="00893CCE">
      <w: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57689395" w14:textId="00E50A54" w:rsidR="00D5616A" w:rsidRPr="000F06C9" w:rsidRDefault="00893CCE" w:rsidP="000F06C9">
      <w:pPr>
        <w:spacing w:before="0" w:after="0"/>
        <w:rPr>
          <w:rFonts w:eastAsia="Calibri"/>
        </w:rPr>
      </w:pPr>
      <w:r w:rsidRPr="00A36653">
        <w:rPr>
          <w:rFonts w:eastAsia="Calibri"/>
        </w:rPr>
        <w:t>In terms</w:t>
      </w:r>
      <w:r w:rsidR="007F16A4">
        <w:rPr>
          <w:rFonts w:eastAsia="Calibri"/>
        </w:rPr>
        <w:t xml:space="preserve"> of</w:t>
      </w:r>
      <w:r w:rsidRPr="00A36653">
        <w:rPr>
          <w:rFonts w:eastAsia="Calibri"/>
        </w:rPr>
        <w:t xml:space="preserve"> </w:t>
      </w:r>
      <w:r>
        <w:rPr>
          <w:rFonts w:eastAsia="Calibri"/>
        </w:rPr>
        <w:t xml:space="preserve">your specific request, </w:t>
      </w:r>
      <w:r w:rsidR="000F06C9">
        <w:rPr>
          <w:rFonts w:eastAsia="Calibri"/>
        </w:rPr>
        <w:t>th</w:t>
      </w:r>
      <w:r w:rsidR="007F16A4">
        <w:rPr>
          <w:rFonts w:eastAsia="Calibri"/>
        </w:rPr>
        <w:t>is</w:t>
      </w:r>
      <w:r w:rsidR="000F06C9">
        <w:rPr>
          <w:rFonts w:eastAsia="Calibri"/>
        </w:rPr>
        <w:t xml:space="preserve"> information cannot be electronically extracted from our recording systems and to provide the data each file would have to be physically examined</w:t>
      </w:r>
      <w:r w:rsidR="007F16A4">
        <w:rPr>
          <w:rFonts w:eastAsia="Calibri"/>
        </w:rPr>
        <w:t xml:space="preserve">. </w:t>
      </w:r>
      <w:r w:rsidR="000F06C9">
        <w:rPr>
          <w:rFonts w:eastAsia="Calibri"/>
        </w:rPr>
        <w:t>This</w:t>
      </w:r>
      <w:r>
        <w:rPr>
          <w:rFonts w:eastAsia="Calibri"/>
        </w:rPr>
        <w:t xml:space="preserve"> task would exceed</w:t>
      </w:r>
      <w:r w:rsidRPr="00A36653">
        <w:t xml:space="preserve"> £600 </w:t>
      </w:r>
      <w:r w:rsidRPr="0095023B">
        <w:t>and 40 hours prescribed by the Scottish Ministers under the Act.</w:t>
      </w:r>
      <w:r w:rsidR="00D5616A" w:rsidRPr="00D5616A">
        <w:t> </w:t>
      </w:r>
    </w:p>
    <w:p w14:paraId="61F2A90C" w14:textId="77777777" w:rsidR="00D5616A" w:rsidRPr="00D5616A" w:rsidRDefault="00D5616A" w:rsidP="00D5616A">
      <w:pPr>
        <w:pStyle w:val="Heading2"/>
      </w:pPr>
      <w:r w:rsidRPr="00D5616A">
        <w:t>3 - Please provide all recorded outcomes for these offences too.</w:t>
      </w:r>
    </w:p>
    <w:p w14:paraId="272E0F98" w14:textId="77777777" w:rsidR="00893CCE" w:rsidRPr="00893CCE" w:rsidRDefault="00893CCE" w:rsidP="00893CC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bookmarkStart w:id="0" w:name="_MailAutoSig"/>
      <w:r w:rsidRPr="00893CCE">
        <w:rPr>
          <w:rFonts w:eastAsiaTheme="majorEastAsia" w:cstheme="majorBidi"/>
          <w:bCs/>
          <w:color w:val="000000" w:themeColor="text1"/>
          <w:szCs w:val="26"/>
        </w:rPr>
        <w:t xml:space="preserve">I can advise that Police Scotland does not hold the above requested information. </w:t>
      </w:r>
    </w:p>
    <w:p w14:paraId="34ECE317" w14:textId="77777777" w:rsidR="00893CCE" w:rsidRPr="00893CCE" w:rsidRDefault="00893CCE" w:rsidP="00893CC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893CCE">
        <w:rPr>
          <w:rFonts w:eastAsiaTheme="majorEastAsia" w:cstheme="majorBidi"/>
          <w:bCs/>
          <w:color w:val="000000" w:themeColor="text1"/>
          <w:szCs w:val="26"/>
        </w:rPr>
        <w:t>In terms of Section 17 of the Act, this letter represents a formal notice that information is not held.</w:t>
      </w:r>
    </w:p>
    <w:p w14:paraId="29683AFF" w14:textId="2B173832" w:rsidR="00893CCE" w:rsidRDefault="00893CCE" w:rsidP="00893CC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893CCE">
        <w:rPr>
          <w:rFonts w:eastAsiaTheme="majorEastAsia" w:cstheme="majorBidi"/>
          <w:bCs/>
          <w:color w:val="000000" w:themeColor="text1"/>
          <w:szCs w:val="26"/>
        </w:rPr>
        <w:t>By way of explanation,</w:t>
      </w:r>
      <w:bookmarkEnd w:id="0"/>
      <w:r>
        <w:rPr>
          <w:rFonts w:eastAsiaTheme="majorEastAsia" w:cstheme="majorBidi"/>
          <w:bCs/>
          <w:color w:val="000000" w:themeColor="text1"/>
          <w:szCs w:val="26"/>
        </w:rPr>
        <w:t xml:space="preserve"> the Role of Police in Scotland, in relation to crimes and offences, is to investigate the circumstances and where sufficient evidence exists, to report the case to </w:t>
      </w:r>
      <w:r>
        <w:rPr>
          <w:rFonts w:eastAsiaTheme="majorEastAsia" w:cstheme="majorBidi"/>
          <w:bCs/>
          <w:color w:val="000000" w:themeColor="text1"/>
          <w:szCs w:val="26"/>
        </w:rPr>
        <w:lastRenderedPageBreak/>
        <w:t xml:space="preserve">the relevant Crown Office and Procurator Fiscal Service. It is then a matter for the Procurator Fiscal to determine whether to progress through the courts.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tbl>
      <w:tblPr>
        <w:tblW w:w="11100" w:type="dxa"/>
        <w:tblLook w:val="04A0" w:firstRow="1" w:lastRow="0" w:firstColumn="1" w:lastColumn="0" w:noHBand="0" w:noVBand="1"/>
      </w:tblPr>
      <w:tblGrid>
        <w:gridCol w:w="2680"/>
        <w:gridCol w:w="1240"/>
        <w:gridCol w:w="1240"/>
        <w:gridCol w:w="1240"/>
        <w:gridCol w:w="1240"/>
        <w:gridCol w:w="1240"/>
        <w:gridCol w:w="1240"/>
        <w:gridCol w:w="980"/>
      </w:tblGrid>
      <w:tr w:rsidR="00A86323" w:rsidRPr="00A86323" w14:paraId="05215E4C" w14:textId="77777777" w:rsidTr="00A86323">
        <w:trPr>
          <w:trHeight w:val="360"/>
        </w:trPr>
        <w:tc>
          <w:tcPr>
            <w:tcW w:w="8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303B" w14:textId="77777777" w:rsidR="00A86323" w:rsidRPr="00A86323" w:rsidRDefault="00A86323" w:rsidP="00A86323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86323">
              <w:rPr>
                <w:rFonts w:eastAsia="Times New Roman"/>
                <w:b/>
                <w:bCs/>
                <w:color w:val="000000"/>
                <w:lang w:eastAsia="en-GB"/>
              </w:rPr>
              <w:t>Title: Selected crime and offences: Stalking crimes, Police Scotland</w:t>
            </w:r>
            <w:r w:rsidRPr="00A86323">
              <w:rPr>
                <w:rFonts w:eastAsia="Times New Roman"/>
                <w:b/>
                <w:bCs/>
                <w:color w:val="000000"/>
                <w:vertAlign w:val="superscript"/>
                <w:lang w:eastAsia="en-GB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2B3D" w14:textId="77777777" w:rsidR="00A86323" w:rsidRPr="00A86323" w:rsidRDefault="00A86323" w:rsidP="00A86323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9AE6" w14:textId="77777777" w:rsidR="00A86323" w:rsidRPr="00A86323" w:rsidRDefault="00A86323" w:rsidP="00A8632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6323" w:rsidRPr="00A86323" w14:paraId="6F81DB70" w14:textId="77777777" w:rsidTr="00A86323">
        <w:trPr>
          <w:trHeight w:val="300"/>
        </w:trPr>
        <w:tc>
          <w:tcPr>
            <w:tcW w:w="7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3D15" w14:textId="77777777" w:rsidR="00A86323" w:rsidRPr="00A86323" w:rsidRDefault="00A86323" w:rsidP="00A8632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86323">
              <w:rPr>
                <w:rFonts w:eastAsia="Times New Roman"/>
                <w:color w:val="000000"/>
                <w:lang w:eastAsia="en-GB"/>
              </w:rPr>
              <w:t>By calendar year, 1st January 2019 to 20th September 2024, Inclusive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46AA" w14:textId="77777777" w:rsidR="00A86323" w:rsidRPr="00A86323" w:rsidRDefault="00A86323" w:rsidP="00A8632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C14C" w14:textId="77777777" w:rsidR="00A86323" w:rsidRPr="00A86323" w:rsidRDefault="00A86323" w:rsidP="00A8632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5CC6" w14:textId="77777777" w:rsidR="00A86323" w:rsidRPr="00A86323" w:rsidRDefault="00A86323" w:rsidP="00A8632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6323" w:rsidRPr="00A86323" w14:paraId="1E7F13F0" w14:textId="77777777" w:rsidTr="00A86323">
        <w:trPr>
          <w:trHeight w:val="312"/>
        </w:trPr>
        <w:tc>
          <w:tcPr>
            <w:tcW w:w="26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C4AC7" w14:textId="77777777" w:rsidR="00A86323" w:rsidRPr="00A86323" w:rsidRDefault="00A86323" w:rsidP="00A8632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86323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D8E22" w14:textId="77777777" w:rsidR="00A86323" w:rsidRPr="00A86323" w:rsidRDefault="00A86323" w:rsidP="00A8632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A86323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28006" w14:textId="77777777" w:rsidR="00A86323" w:rsidRPr="00A86323" w:rsidRDefault="00A86323" w:rsidP="00A8632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A86323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63F92" w14:textId="77777777" w:rsidR="00A86323" w:rsidRPr="00A86323" w:rsidRDefault="00A86323" w:rsidP="00A8632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A86323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19244" w14:textId="77777777" w:rsidR="00A86323" w:rsidRPr="00A86323" w:rsidRDefault="00A86323" w:rsidP="00A8632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A86323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50674" w14:textId="77777777" w:rsidR="00A86323" w:rsidRPr="00A86323" w:rsidRDefault="00A86323" w:rsidP="00A8632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A86323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5827C" w14:textId="77777777" w:rsidR="00A86323" w:rsidRPr="00A86323" w:rsidRDefault="00A86323" w:rsidP="00A8632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A86323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89B7" w14:textId="77777777" w:rsidR="00A86323" w:rsidRPr="00A86323" w:rsidRDefault="00A86323" w:rsidP="00A8632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A86323" w:rsidRPr="00A86323" w14:paraId="58A26663" w14:textId="77777777" w:rsidTr="00A86323">
        <w:trPr>
          <w:trHeight w:val="372"/>
        </w:trPr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CAB98" w14:textId="77777777" w:rsidR="00A86323" w:rsidRPr="00A86323" w:rsidRDefault="00A86323" w:rsidP="00A86323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86323">
              <w:rPr>
                <w:rFonts w:eastAsia="Times New Roman"/>
                <w:b/>
                <w:bCs/>
                <w:color w:val="000000"/>
                <w:lang w:eastAsia="en-GB"/>
              </w:rPr>
              <w:t>Stalking - 101114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F8BAF" w14:textId="77777777" w:rsidR="00A86323" w:rsidRPr="00A86323" w:rsidRDefault="00A86323" w:rsidP="00A86323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86323">
              <w:rPr>
                <w:rFonts w:eastAsia="Times New Roman"/>
                <w:b/>
                <w:bCs/>
                <w:color w:val="000000"/>
                <w:lang w:eastAsia="en-GB"/>
              </w:rPr>
              <w:t>2019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E8B85" w14:textId="77777777" w:rsidR="00A86323" w:rsidRPr="00A86323" w:rsidRDefault="00A86323" w:rsidP="00A86323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86323">
              <w:rPr>
                <w:rFonts w:eastAsia="Times New Roman"/>
                <w:b/>
                <w:bCs/>
                <w:color w:val="000000"/>
                <w:lang w:eastAsia="en-GB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B4A13" w14:textId="77777777" w:rsidR="00A86323" w:rsidRPr="00A86323" w:rsidRDefault="00A86323" w:rsidP="00A86323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86323">
              <w:rPr>
                <w:rFonts w:eastAsia="Times New Roman"/>
                <w:b/>
                <w:bCs/>
                <w:color w:val="000000"/>
                <w:lang w:eastAsia="en-GB"/>
              </w:rPr>
              <w:t>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5B628" w14:textId="77777777" w:rsidR="00A86323" w:rsidRPr="00A86323" w:rsidRDefault="00A86323" w:rsidP="00A86323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86323">
              <w:rPr>
                <w:rFonts w:eastAsia="Times New Roman"/>
                <w:b/>
                <w:bCs/>
                <w:color w:val="000000"/>
                <w:lang w:eastAsia="en-GB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A1504" w14:textId="77777777" w:rsidR="00A86323" w:rsidRPr="00A86323" w:rsidRDefault="00A86323" w:rsidP="00A86323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86323">
              <w:rPr>
                <w:rFonts w:eastAsia="Times New Roman"/>
                <w:b/>
                <w:bCs/>
                <w:color w:val="000000"/>
                <w:lang w:eastAsia="en-GB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5174B" w14:textId="77777777" w:rsidR="00A86323" w:rsidRPr="00A86323" w:rsidRDefault="00A86323" w:rsidP="00A86323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86323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2024 </w:t>
            </w:r>
            <w:r w:rsidRPr="00A86323">
              <w:rPr>
                <w:rFonts w:eastAsia="Times New Roman"/>
                <w:b/>
                <w:bCs/>
                <w:color w:val="000000"/>
                <w:vertAlign w:val="superscript"/>
                <w:lang w:eastAsia="en-GB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B4DBF" w14:textId="77777777" w:rsidR="00A86323" w:rsidRPr="00A86323" w:rsidRDefault="00A86323" w:rsidP="00A86323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</w:tr>
      <w:tr w:rsidR="00A86323" w:rsidRPr="00A86323" w14:paraId="459857E2" w14:textId="77777777" w:rsidTr="00A86323">
        <w:trPr>
          <w:trHeight w:val="156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EC12C" w14:textId="77777777" w:rsidR="00A86323" w:rsidRPr="00A86323" w:rsidRDefault="00A86323" w:rsidP="00A8632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5B3B1" w14:textId="77777777" w:rsidR="00A86323" w:rsidRPr="00A86323" w:rsidRDefault="00A86323" w:rsidP="00A8632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B46B2" w14:textId="77777777" w:rsidR="00A86323" w:rsidRPr="00A86323" w:rsidRDefault="00A86323" w:rsidP="00A8632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3F9C0" w14:textId="77777777" w:rsidR="00A86323" w:rsidRPr="00A86323" w:rsidRDefault="00A86323" w:rsidP="00A8632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1017B" w14:textId="77777777" w:rsidR="00A86323" w:rsidRPr="00A86323" w:rsidRDefault="00A86323" w:rsidP="00A8632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2B781" w14:textId="77777777" w:rsidR="00A86323" w:rsidRPr="00A86323" w:rsidRDefault="00A86323" w:rsidP="00A8632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6B850" w14:textId="77777777" w:rsidR="00A86323" w:rsidRPr="00A86323" w:rsidRDefault="00A86323" w:rsidP="00A8632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9B6D7" w14:textId="77777777" w:rsidR="00A86323" w:rsidRPr="00A86323" w:rsidRDefault="00A86323" w:rsidP="00A8632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6323" w:rsidRPr="00A86323" w14:paraId="6B56A9BB" w14:textId="77777777" w:rsidTr="00A86323">
        <w:trPr>
          <w:trHeight w:val="40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043A9" w14:textId="77777777" w:rsidR="00A86323" w:rsidRPr="00A86323" w:rsidRDefault="00A86323" w:rsidP="00A8632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86323">
              <w:rPr>
                <w:rFonts w:eastAsia="Times New Roman"/>
                <w:color w:val="000000"/>
                <w:lang w:eastAsia="en-GB"/>
              </w:rPr>
              <w:t>Recorded crimes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0539A" w14:textId="77777777" w:rsidR="00A86323" w:rsidRPr="00A86323" w:rsidRDefault="00A86323" w:rsidP="00A8632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A86323">
              <w:rPr>
                <w:rFonts w:eastAsia="Times New Roman"/>
                <w:color w:val="000000"/>
                <w:lang w:eastAsia="en-GB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43767" w14:textId="77777777" w:rsidR="00A86323" w:rsidRPr="00A86323" w:rsidRDefault="00A86323" w:rsidP="00A8632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A86323">
              <w:rPr>
                <w:rFonts w:eastAsia="Times New Roman"/>
                <w:color w:val="000000"/>
                <w:lang w:eastAsia="en-GB"/>
              </w:rPr>
              <w:t>935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E448F" w14:textId="77777777" w:rsidR="00A86323" w:rsidRPr="00A86323" w:rsidRDefault="00A86323" w:rsidP="00A8632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A86323">
              <w:rPr>
                <w:rFonts w:eastAsia="Times New Roman"/>
                <w:color w:val="000000"/>
                <w:lang w:eastAsia="en-GB"/>
              </w:rPr>
              <w:t>846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8E921" w14:textId="77777777" w:rsidR="00A86323" w:rsidRPr="00A86323" w:rsidRDefault="00A86323" w:rsidP="00A8632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A86323">
              <w:rPr>
                <w:rFonts w:eastAsia="Times New Roman"/>
                <w:color w:val="000000"/>
                <w:lang w:eastAsia="en-GB"/>
              </w:rPr>
              <w:t>809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48641" w14:textId="77777777" w:rsidR="00A86323" w:rsidRPr="00A86323" w:rsidRDefault="00A86323" w:rsidP="00A8632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A86323">
              <w:rPr>
                <w:rFonts w:eastAsia="Times New Roman"/>
                <w:color w:val="000000"/>
                <w:lang w:eastAsia="en-GB"/>
              </w:rPr>
              <w:t>854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F61B4" w14:textId="77777777" w:rsidR="00A86323" w:rsidRPr="00A86323" w:rsidRDefault="00A86323" w:rsidP="00A8632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A86323">
              <w:rPr>
                <w:rFonts w:eastAsia="Times New Roman"/>
                <w:color w:val="000000"/>
                <w:lang w:eastAsia="en-GB"/>
              </w:rPr>
              <w:t>685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3F40E" w14:textId="77777777" w:rsidR="00A86323" w:rsidRPr="00A86323" w:rsidRDefault="00A86323" w:rsidP="00A8632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A86323" w:rsidRPr="00A86323" w14:paraId="660A1F19" w14:textId="77777777" w:rsidTr="00A86323">
        <w:trPr>
          <w:trHeight w:val="40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A534E" w14:textId="77777777" w:rsidR="00A86323" w:rsidRPr="00A86323" w:rsidRDefault="00A86323" w:rsidP="00A8632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86323">
              <w:rPr>
                <w:rFonts w:eastAsia="Times New Roman"/>
                <w:color w:val="000000"/>
                <w:lang w:eastAsia="en-GB"/>
              </w:rPr>
              <w:t>Detected crimes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AD896" w14:textId="77777777" w:rsidR="00A86323" w:rsidRPr="00A86323" w:rsidRDefault="00A86323" w:rsidP="00A8632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A86323">
              <w:rPr>
                <w:rFonts w:eastAsia="Times New Roman"/>
                <w:color w:val="000000"/>
                <w:lang w:eastAsia="en-GB"/>
              </w:rPr>
              <w:t>763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D911" w14:textId="77777777" w:rsidR="00A86323" w:rsidRPr="00A86323" w:rsidRDefault="00A86323" w:rsidP="00A8632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A86323">
              <w:rPr>
                <w:rFonts w:eastAsia="Times New Roman"/>
                <w:color w:val="000000"/>
                <w:lang w:eastAsia="en-GB"/>
              </w:rPr>
              <w:t>775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B5492" w14:textId="77777777" w:rsidR="00A86323" w:rsidRPr="00A86323" w:rsidRDefault="00A86323" w:rsidP="00A8632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A86323">
              <w:rPr>
                <w:rFonts w:eastAsia="Times New Roman"/>
                <w:color w:val="000000"/>
                <w:lang w:eastAsia="en-GB"/>
              </w:rPr>
              <w:t>669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80E07" w14:textId="77777777" w:rsidR="00A86323" w:rsidRPr="00A86323" w:rsidRDefault="00A86323" w:rsidP="00A8632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A86323">
              <w:rPr>
                <w:rFonts w:eastAsia="Times New Roman"/>
                <w:color w:val="000000"/>
                <w:lang w:eastAsia="en-GB"/>
              </w:rPr>
              <w:t>681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EE3BA" w14:textId="77777777" w:rsidR="00A86323" w:rsidRPr="00A86323" w:rsidRDefault="00A86323" w:rsidP="00A8632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A86323">
              <w:rPr>
                <w:rFonts w:eastAsia="Times New Roman"/>
                <w:color w:val="000000"/>
                <w:lang w:eastAsia="en-GB"/>
              </w:rPr>
              <w:t>685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357D3" w14:textId="77777777" w:rsidR="00A86323" w:rsidRPr="00A86323" w:rsidRDefault="00A86323" w:rsidP="00A8632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A86323">
              <w:rPr>
                <w:rFonts w:eastAsia="Times New Roman"/>
                <w:color w:val="000000"/>
                <w:lang w:eastAsia="en-GB"/>
              </w:rPr>
              <w:t>556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D10CB" w14:textId="77777777" w:rsidR="00A86323" w:rsidRPr="00A86323" w:rsidRDefault="00A86323" w:rsidP="00A8632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A86323" w:rsidRPr="00A86323" w14:paraId="4BD85F4B" w14:textId="77777777" w:rsidTr="00A86323">
        <w:trPr>
          <w:trHeight w:val="204"/>
        </w:trPr>
        <w:tc>
          <w:tcPr>
            <w:tcW w:w="26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7FCBE" w14:textId="77777777" w:rsidR="00A86323" w:rsidRPr="00A86323" w:rsidRDefault="00A86323" w:rsidP="00A8632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86323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7C5C3" w14:textId="77777777" w:rsidR="00A86323" w:rsidRPr="00A86323" w:rsidRDefault="00A86323" w:rsidP="00A8632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A86323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AA148" w14:textId="77777777" w:rsidR="00A86323" w:rsidRPr="00A86323" w:rsidRDefault="00A86323" w:rsidP="00A8632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A86323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A2005" w14:textId="77777777" w:rsidR="00A86323" w:rsidRPr="00A86323" w:rsidRDefault="00A86323" w:rsidP="00A8632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A86323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B49FD" w14:textId="77777777" w:rsidR="00A86323" w:rsidRPr="00A86323" w:rsidRDefault="00A86323" w:rsidP="00A8632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A86323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25783" w14:textId="77777777" w:rsidR="00A86323" w:rsidRPr="00A86323" w:rsidRDefault="00A86323" w:rsidP="00A8632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A86323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405F1" w14:textId="77777777" w:rsidR="00A86323" w:rsidRPr="00A86323" w:rsidRDefault="00A86323" w:rsidP="00A8632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A86323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4E815" w14:textId="77777777" w:rsidR="00A86323" w:rsidRPr="00A86323" w:rsidRDefault="00A86323" w:rsidP="00A8632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A86323" w:rsidRPr="00A86323" w14:paraId="105E3932" w14:textId="77777777" w:rsidTr="00A86323">
        <w:trPr>
          <w:trHeight w:val="312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AF24" w14:textId="77777777" w:rsidR="00A86323" w:rsidRPr="00A86323" w:rsidRDefault="00A86323" w:rsidP="00A8632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CB53" w14:textId="77777777" w:rsidR="00A86323" w:rsidRPr="00A86323" w:rsidRDefault="00A86323" w:rsidP="00A8632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016C" w14:textId="77777777" w:rsidR="00A86323" w:rsidRPr="00A86323" w:rsidRDefault="00A86323" w:rsidP="00A8632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7702" w14:textId="77777777" w:rsidR="00A86323" w:rsidRPr="00A86323" w:rsidRDefault="00A86323" w:rsidP="00A8632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5B58" w14:textId="77777777" w:rsidR="00A86323" w:rsidRPr="00A86323" w:rsidRDefault="00A86323" w:rsidP="00A8632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3414" w14:textId="77777777" w:rsidR="00A86323" w:rsidRPr="00A86323" w:rsidRDefault="00A86323" w:rsidP="00A8632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DFCD" w14:textId="77777777" w:rsidR="00A86323" w:rsidRPr="00A86323" w:rsidRDefault="00A86323" w:rsidP="00A8632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6AC1" w14:textId="77777777" w:rsidR="00A86323" w:rsidRPr="00A86323" w:rsidRDefault="00A86323" w:rsidP="00A8632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6323" w:rsidRPr="00A86323" w14:paraId="430E87DB" w14:textId="77777777" w:rsidTr="00A86323">
        <w:trPr>
          <w:trHeight w:val="645"/>
        </w:trPr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4FDCC" w14:textId="77777777" w:rsidR="00A86323" w:rsidRPr="00A86323" w:rsidRDefault="00A86323" w:rsidP="00A86323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A86323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All statistics are provisional and should be treated as management information. All data have been extracted from Police Scotland internal systems and are correct as at 11/10/2024.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2B49" w14:textId="77777777" w:rsidR="00A86323" w:rsidRPr="00A86323" w:rsidRDefault="00A86323" w:rsidP="00A86323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86323" w:rsidRPr="00A86323" w14:paraId="4CECACEC" w14:textId="77777777" w:rsidTr="00A86323">
        <w:trPr>
          <w:trHeight w:val="324"/>
        </w:trPr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EAB76" w14:textId="77777777" w:rsidR="00A86323" w:rsidRPr="00A86323" w:rsidRDefault="00A86323" w:rsidP="00A86323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A86323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1. The data was extracted using the crime's raised date and by using SGJD codes 101114 - Stalking.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8B9B" w14:textId="77777777" w:rsidR="00A86323" w:rsidRPr="00A86323" w:rsidRDefault="00A86323" w:rsidP="00A86323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86323" w:rsidRPr="00A86323" w14:paraId="289F9119" w14:textId="77777777" w:rsidTr="00A86323">
        <w:trPr>
          <w:trHeight w:val="300"/>
        </w:trPr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2BDFD" w14:textId="77777777" w:rsidR="00A86323" w:rsidRPr="00A86323" w:rsidRDefault="00A86323" w:rsidP="00A86323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A86323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2. 2024 data only contains upto and including 20 September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6E1A" w14:textId="77777777" w:rsidR="00A86323" w:rsidRPr="00A86323" w:rsidRDefault="00A86323" w:rsidP="00A86323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7BA64BE" w14:textId="77777777" w:rsidR="00A86323" w:rsidRDefault="00A86323" w:rsidP="00793DD5"/>
    <w:p w14:paraId="7BB002CF" w14:textId="77777777" w:rsidR="00A86323" w:rsidRDefault="00A86323" w:rsidP="00793DD5"/>
    <w:p w14:paraId="0E0DF4FB" w14:textId="77777777" w:rsidR="00A86323" w:rsidRDefault="00A86323" w:rsidP="00793DD5"/>
    <w:sectPr w:rsidR="00A86323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2089C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2B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78C951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2B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527CDFC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2B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BF6790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2B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EAE8AE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2B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366EE1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2B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43A4"/>
    <w:rsid w:val="00052BC5"/>
    <w:rsid w:val="0009018E"/>
    <w:rsid w:val="00090F3B"/>
    <w:rsid w:val="000B1FD8"/>
    <w:rsid w:val="000C316A"/>
    <w:rsid w:val="000E2F19"/>
    <w:rsid w:val="000E6526"/>
    <w:rsid w:val="000F06C9"/>
    <w:rsid w:val="00141533"/>
    <w:rsid w:val="001576DD"/>
    <w:rsid w:val="00167528"/>
    <w:rsid w:val="00195CC4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4903"/>
    <w:rsid w:val="004F653C"/>
    <w:rsid w:val="0050727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16A4"/>
    <w:rsid w:val="007F490F"/>
    <w:rsid w:val="008049E8"/>
    <w:rsid w:val="0086779C"/>
    <w:rsid w:val="00874BFD"/>
    <w:rsid w:val="00893CCE"/>
    <w:rsid w:val="008964EF"/>
    <w:rsid w:val="00915E01"/>
    <w:rsid w:val="00953E80"/>
    <w:rsid w:val="009631A4"/>
    <w:rsid w:val="00977296"/>
    <w:rsid w:val="009A4221"/>
    <w:rsid w:val="00A061E3"/>
    <w:rsid w:val="00A25E93"/>
    <w:rsid w:val="00A320FF"/>
    <w:rsid w:val="00A50A8D"/>
    <w:rsid w:val="00A70AC0"/>
    <w:rsid w:val="00A84EA9"/>
    <w:rsid w:val="00A86323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5616A"/>
    <w:rsid w:val="00D7784F"/>
    <w:rsid w:val="00E3494A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5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577</Words>
  <Characters>3290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2024-10-18T14:58:00Z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