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07586F" w:rsidR="00B17211" w:rsidRPr="00B17211" w:rsidRDefault="00B17211" w:rsidP="007F490F">
            <w:r w:rsidRPr="007F490F">
              <w:rPr>
                <w:rStyle w:val="Heading2Char"/>
              </w:rPr>
              <w:t>Our reference:</w:t>
            </w:r>
            <w:r>
              <w:t xml:space="preserve">  FOI 2</w:t>
            </w:r>
            <w:r w:rsidR="00EF0FBB">
              <w:t>5</w:t>
            </w:r>
            <w:r>
              <w:t>-</w:t>
            </w:r>
            <w:r w:rsidR="00E3643E">
              <w:t>0266</w:t>
            </w:r>
          </w:p>
          <w:p w14:paraId="34BDABA6" w14:textId="5CBE9ED7" w:rsidR="00B17211" w:rsidRDefault="00456324" w:rsidP="00EE2373">
            <w:r w:rsidRPr="007F490F">
              <w:rPr>
                <w:rStyle w:val="Heading2Char"/>
              </w:rPr>
              <w:t>Respon</w:t>
            </w:r>
            <w:r w:rsidR="007D55F6">
              <w:rPr>
                <w:rStyle w:val="Heading2Char"/>
              </w:rPr>
              <w:t>ded to:</w:t>
            </w:r>
            <w:r w:rsidR="007F490F">
              <w:t xml:space="preserve">  </w:t>
            </w:r>
            <w:r w:rsidR="00217ED7">
              <w:t xml:space="preserve">02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6DFC89" w14:textId="1089C502" w:rsidR="00E3643E" w:rsidRPr="00E3643E" w:rsidRDefault="00E3643E" w:rsidP="00E3643E">
      <w:pPr>
        <w:pStyle w:val="Heading2"/>
      </w:pPr>
      <w:r w:rsidRPr="00E3643E">
        <w:t>Please could you provide the following information:</w:t>
      </w:r>
    </w:p>
    <w:p w14:paraId="547E04FC" w14:textId="77777777" w:rsidR="00E3643E" w:rsidRDefault="00E3643E" w:rsidP="00E3643E">
      <w:pPr>
        <w:pStyle w:val="Heading2"/>
      </w:pPr>
      <w:r w:rsidRPr="00E3643E">
        <w:t>The total number of police officers accused of misconduct </w:t>
      </w:r>
    </w:p>
    <w:p w14:paraId="4CD4A6AF" w14:textId="77777777" w:rsidR="000C6321" w:rsidRDefault="00B83F63" w:rsidP="00B83F63">
      <w:r w:rsidRPr="00B83F63">
        <w:t xml:space="preserve">The data below only relates to matters that were Preliminary Assessed by the Professional Standards Department for the specific financial year.   It does not include allegations of misconduct that did not result in a formal Preliminary Assessment in that year.  </w:t>
      </w:r>
    </w:p>
    <w:p w14:paraId="45BD64CA" w14:textId="443F560A" w:rsidR="00B83F63" w:rsidRPr="00B83F63" w:rsidRDefault="00B83F63" w:rsidP="00B83F63">
      <w:r w:rsidRPr="00B83F63">
        <w:t>Data provided is accurate as at 29/01/2025</w:t>
      </w:r>
      <w:r w:rsidR="00D72D25">
        <w:t>.</w:t>
      </w:r>
    </w:p>
    <w:p w14:paraId="0DD06FEE" w14:textId="77777777" w:rsidR="00B83F63" w:rsidRPr="00B83F63" w:rsidRDefault="00B83F63" w:rsidP="00B83F63">
      <w:pPr>
        <w:rPr>
          <w:i/>
          <w:iCs/>
        </w:rPr>
      </w:pPr>
      <w:r w:rsidRPr="00B83F63">
        <w:rPr>
          <w:i/>
          <w:iCs/>
        </w:rPr>
        <w:t>Table 1 – Number of preliminary assessments per financial year</w:t>
      </w:r>
    </w:p>
    <w:tbl>
      <w:tblPr>
        <w:tblW w:w="10052" w:type="dxa"/>
        <w:tblCellMar>
          <w:left w:w="0" w:type="dxa"/>
          <w:right w:w="0" w:type="dxa"/>
        </w:tblCellMar>
        <w:tblLook w:val="04A0" w:firstRow="1" w:lastRow="0" w:firstColumn="1" w:lastColumn="0" w:noHBand="0" w:noVBand="1"/>
        <w:tblCaption w:val="Number of preliminary assessments per financial year"/>
        <w:tblDescription w:val="Number of preliminary assessments per financial year"/>
      </w:tblPr>
      <w:tblGrid>
        <w:gridCol w:w="5180"/>
        <w:gridCol w:w="1218"/>
        <w:gridCol w:w="1218"/>
        <w:gridCol w:w="1218"/>
        <w:gridCol w:w="1218"/>
      </w:tblGrid>
      <w:tr w:rsidR="00B83F63" w:rsidRPr="00B83F63" w14:paraId="03D8922B" w14:textId="77777777" w:rsidTr="00B83F63">
        <w:trPr>
          <w:tblHeader/>
        </w:trPr>
        <w:tc>
          <w:tcPr>
            <w:tcW w:w="5180" w:type="dxa"/>
            <w:tcBorders>
              <w:top w:val="single" w:sz="8" w:space="0" w:color="auto"/>
              <w:left w:val="single" w:sz="8" w:space="0" w:color="auto"/>
              <w:bottom w:val="single" w:sz="8" w:space="0" w:color="auto"/>
              <w:right w:val="single" w:sz="8" w:space="0" w:color="auto"/>
            </w:tcBorders>
            <w:shd w:val="clear" w:color="auto" w:fill="D1D1D1"/>
            <w:tcMar>
              <w:top w:w="0" w:type="dxa"/>
              <w:left w:w="108" w:type="dxa"/>
              <w:bottom w:w="0" w:type="dxa"/>
              <w:right w:w="108" w:type="dxa"/>
            </w:tcMar>
            <w:hideMark/>
          </w:tcPr>
          <w:p w14:paraId="1062A913" w14:textId="77777777" w:rsidR="00B83F63" w:rsidRPr="00B83F63" w:rsidRDefault="00B83F63" w:rsidP="00B83F63">
            <w:pPr>
              <w:rPr>
                <w:i/>
                <w:iCs/>
              </w:rPr>
            </w:pP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33FCE671" w14:textId="77777777" w:rsidR="00B83F63" w:rsidRPr="00B83F63" w:rsidRDefault="00B83F63" w:rsidP="00B83F63">
            <w:pPr>
              <w:rPr>
                <w:b/>
                <w:bCs/>
              </w:rPr>
            </w:pPr>
            <w:r w:rsidRPr="00B83F63">
              <w:rPr>
                <w:b/>
                <w:bCs/>
              </w:rPr>
              <w:t>2021/22</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08213ACC" w14:textId="77777777" w:rsidR="00B83F63" w:rsidRPr="00B83F63" w:rsidRDefault="00B83F63" w:rsidP="00B83F63">
            <w:pPr>
              <w:rPr>
                <w:b/>
                <w:bCs/>
              </w:rPr>
            </w:pPr>
            <w:r w:rsidRPr="00B83F63">
              <w:rPr>
                <w:b/>
                <w:bCs/>
              </w:rPr>
              <w:t>2022/23</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7DD94AFE" w14:textId="77777777" w:rsidR="00B83F63" w:rsidRPr="00B83F63" w:rsidRDefault="00B83F63" w:rsidP="00B83F63">
            <w:pPr>
              <w:rPr>
                <w:b/>
                <w:bCs/>
              </w:rPr>
            </w:pPr>
            <w:r w:rsidRPr="00B83F63">
              <w:rPr>
                <w:b/>
                <w:bCs/>
              </w:rPr>
              <w:t>2023/24</w:t>
            </w:r>
          </w:p>
        </w:tc>
        <w:tc>
          <w:tcPr>
            <w:tcW w:w="1218" w:type="dxa"/>
            <w:tcBorders>
              <w:top w:val="single" w:sz="8" w:space="0" w:color="auto"/>
              <w:left w:val="nil"/>
              <w:bottom w:val="single" w:sz="8" w:space="0" w:color="auto"/>
              <w:right w:val="single" w:sz="8" w:space="0" w:color="auto"/>
            </w:tcBorders>
            <w:shd w:val="clear" w:color="auto" w:fill="D1D1D1"/>
            <w:hideMark/>
          </w:tcPr>
          <w:p w14:paraId="141EFCE5" w14:textId="77777777" w:rsidR="00B83F63" w:rsidRPr="00B83F63" w:rsidRDefault="00B83F63" w:rsidP="00B83F63">
            <w:pPr>
              <w:rPr>
                <w:b/>
                <w:bCs/>
                <w:vertAlign w:val="superscript"/>
              </w:rPr>
            </w:pPr>
            <w:r w:rsidRPr="00B83F63">
              <w:rPr>
                <w:b/>
                <w:bCs/>
              </w:rPr>
              <w:t>  2024/25</w:t>
            </w:r>
            <w:r w:rsidRPr="00B83F63">
              <w:rPr>
                <w:b/>
                <w:bCs/>
                <w:vertAlign w:val="superscript"/>
              </w:rPr>
              <w:t>1</w:t>
            </w:r>
          </w:p>
        </w:tc>
      </w:tr>
      <w:tr w:rsidR="00B83F63" w:rsidRPr="00B83F63" w14:paraId="0BFA1C0A"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C3F35" w14:textId="77777777" w:rsidR="00B83F63" w:rsidRPr="00B83F63" w:rsidRDefault="00B83F63" w:rsidP="00B83F63">
            <w:r w:rsidRPr="00B83F63">
              <w:t>Number of preliminary assessments</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1C1A7F3" w14:textId="77777777" w:rsidR="00B83F63" w:rsidRPr="00B83F63" w:rsidRDefault="00B83F63" w:rsidP="00B83F63">
            <w:r w:rsidRPr="00B83F63">
              <w:t>376</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D54EAFF" w14:textId="77777777" w:rsidR="00B83F63" w:rsidRPr="00B83F63" w:rsidRDefault="00B83F63" w:rsidP="00B83F63">
            <w:r w:rsidRPr="00B83F63">
              <w:t>398</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DC80AAF" w14:textId="77777777" w:rsidR="00B83F63" w:rsidRPr="00B83F63" w:rsidRDefault="00B83F63" w:rsidP="00B83F63">
            <w:r w:rsidRPr="00B83F63">
              <w:t>470</w:t>
            </w:r>
          </w:p>
        </w:tc>
        <w:tc>
          <w:tcPr>
            <w:tcW w:w="1218" w:type="dxa"/>
            <w:tcBorders>
              <w:top w:val="nil"/>
              <w:left w:val="nil"/>
              <w:bottom w:val="single" w:sz="8" w:space="0" w:color="auto"/>
              <w:right w:val="single" w:sz="8" w:space="0" w:color="auto"/>
            </w:tcBorders>
            <w:hideMark/>
          </w:tcPr>
          <w:p w14:paraId="5E4EB171" w14:textId="77777777" w:rsidR="00B83F63" w:rsidRPr="00B83F63" w:rsidRDefault="00B83F63" w:rsidP="00B83F63">
            <w:r w:rsidRPr="00B83F63">
              <w:t>357</w:t>
            </w:r>
          </w:p>
        </w:tc>
      </w:tr>
    </w:tbl>
    <w:p w14:paraId="151252E6" w14:textId="685960EC" w:rsidR="00B83F63" w:rsidRPr="00B83F63" w:rsidRDefault="000C6321" w:rsidP="000C6321">
      <w:r>
        <w:rPr>
          <w:vertAlign w:val="superscript"/>
        </w:rPr>
        <w:t>1</w:t>
      </w:r>
      <w:r w:rsidR="00B83F63" w:rsidRPr="00B83F63">
        <w:t>2024/25 data up to 29/01/2025</w:t>
      </w:r>
    </w:p>
    <w:p w14:paraId="0EDF0B2C" w14:textId="77777777" w:rsidR="000C6321" w:rsidRDefault="000C6321" w:rsidP="00E3643E">
      <w:pPr>
        <w:pStyle w:val="Heading2"/>
      </w:pPr>
    </w:p>
    <w:p w14:paraId="01922300" w14:textId="2B419ADE" w:rsidR="00E3643E" w:rsidRDefault="00E3643E" w:rsidP="00E3643E">
      <w:pPr>
        <w:pStyle w:val="Heading2"/>
      </w:pPr>
      <w:r w:rsidRPr="00E3643E">
        <w:t>A breakdown of the number that proceeded to a misconduct hearing</w:t>
      </w:r>
    </w:p>
    <w:p w14:paraId="556BEA6F" w14:textId="3330C161" w:rsidR="00B83F63" w:rsidRPr="00B83F63" w:rsidRDefault="00B83F63" w:rsidP="00B83F63">
      <w:r w:rsidRPr="00B83F63">
        <w:t xml:space="preserve">A misconduct hearing facilitates “gross misconduct” allegations whereas a misconduct meeting facilitates “misconduct” only. </w:t>
      </w:r>
    </w:p>
    <w:p w14:paraId="2C2D4AAF" w14:textId="7077870B" w:rsidR="00B83F63" w:rsidRPr="00B83F63" w:rsidRDefault="00B83F63" w:rsidP="00B83F63">
      <w:r w:rsidRPr="00B83F63">
        <w:t>Gross misconduct means a breach of the Standards of Professional Behaviour so serious that dismissal would be justified.</w:t>
      </w:r>
    </w:p>
    <w:p w14:paraId="6096E6BA" w14:textId="77777777" w:rsidR="00B83F63" w:rsidRDefault="00B83F63" w:rsidP="00B83F63">
      <w:r w:rsidRPr="00B83F63">
        <w:t>We have based our answer on the specific request for the number that proceeded to a misconduct hearing only.  Should an officer retire or resign prior to the scheduled hearing, the misconduct process will immediately cease meaning the arranged hearing may not have taken place.  </w:t>
      </w:r>
    </w:p>
    <w:p w14:paraId="7A252EB6" w14:textId="77777777" w:rsidR="000C6321" w:rsidRDefault="000C6321" w:rsidP="00B83F63"/>
    <w:p w14:paraId="234693F7" w14:textId="65A73F19" w:rsidR="000C6321" w:rsidRPr="00B83F63" w:rsidRDefault="000C6321" w:rsidP="000C6321">
      <w:r w:rsidRPr="00B83F63">
        <w:lastRenderedPageBreak/>
        <w:t>Data provided is accurate as at 29/01/2025</w:t>
      </w:r>
      <w:r>
        <w:t>.</w:t>
      </w:r>
    </w:p>
    <w:p w14:paraId="5DB76C87" w14:textId="47E82FDA" w:rsidR="00B83F63" w:rsidRPr="00B83F63" w:rsidRDefault="00B83F63" w:rsidP="00B83F63">
      <w:pPr>
        <w:rPr>
          <w:i/>
          <w:iCs/>
        </w:rPr>
      </w:pPr>
      <w:r w:rsidRPr="00B83F63">
        <w:rPr>
          <w:i/>
          <w:iCs/>
        </w:rPr>
        <w:t>Table 2 – Number of preliminary assessments that proceeded to Misconduct Hearing by financial year</w:t>
      </w:r>
    </w:p>
    <w:tbl>
      <w:tblPr>
        <w:tblW w:w="10052" w:type="dxa"/>
        <w:tblCellMar>
          <w:left w:w="0" w:type="dxa"/>
          <w:right w:w="0" w:type="dxa"/>
        </w:tblCellMar>
        <w:tblLook w:val="04A0" w:firstRow="1" w:lastRow="0" w:firstColumn="1" w:lastColumn="0" w:noHBand="0" w:noVBand="1"/>
        <w:tblCaption w:val="Number of preliminary assessments that proceeded to Misconduct Hearing by financial year"/>
        <w:tblDescription w:val="Number of preliminary assessments that proceeded to Misconduct Hearing by financial year"/>
      </w:tblPr>
      <w:tblGrid>
        <w:gridCol w:w="5180"/>
        <w:gridCol w:w="1218"/>
        <w:gridCol w:w="1218"/>
        <w:gridCol w:w="1218"/>
        <w:gridCol w:w="1218"/>
      </w:tblGrid>
      <w:tr w:rsidR="00B83F63" w:rsidRPr="00B83F63" w14:paraId="69564F70" w14:textId="77777777" w:rsidTr="00B83F63">
        <w:trPr>
          <w:tblHeader/>
        </w:trPr>
        <w:tc>
          <w:tcPr>
            <w:tcW w:w="5180" w:type="dxa"/>
            <w:tcBorders>
              <w:top w:val="single" w:sz="8" w:space="0" w:color="auto"/>
              <w:left w:val="single" w:sz="8" w:space="0" w:color="auto"/>
              <w:bottom w:val="single" w:sz="8" w:space="0" w:color="auto"/>
              <w:right w:val="single" w:sz="8" w:space="0" w:color="auto"/>
            </w:tcBorders>
            <w:shd w:val="clear" w:color="auto" w:fill="D1D1D1"/>
            <w:tcMar>
              <w:top w:w="0" w:type="dxa"/>
              <w:left w:w="108" w:type="dxa"/>
              <w:bottom w:w="0" w:type="dxa"/>
              <w:right w:w="108" w:type="dxa"/>
            </w:tcMar>
            <w:hideMark/>
          </w:tcPr>
          <w:p w14:paraId="60CB6EED" w14:textId="77777777" w:rsidR="00B83F63" w:rsidRPr="00B83F63" w:rsidRDefault="00B83F63" w:rsidP="00B83F63">
            <w:pPr>
              <w:rPr>
                <w:i/>
                <w:iCs/>
              </w:rPr>
            </w:pP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776B6BE9" w14:textId="77777777" w:rsidR="00B83F63" w:rsidRPr="00B83F63" w:rsidRDefault="00B83F63" w:rsidP="00B83F63">
            <w:pPr>
              <w:rPr>
                <w:b/>
                <w:bCs/>
              </w:rPr>
            </w:pPr>
            <w:r w:rsidRPr="00B83F63">
              <w:rPr>
                <w:b/>
                <w:bCs/>
              </w:rPr>
              <w:t>2021/22</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6F17C679" w14:textId="77777777" w:rsidR="00B83F63" w:rsidRPr="00B83F63" w:rsidRDefault="00B83F63" w:rsidP="00B83F63">
            <w:pPr>
              <w:rPr>
                <w:b/>
                <w:bCs/>
              </w:rPr>
            </w:pPr>
            <w:r w:rsidRPr="00B83F63">
              <w:rPr>
                <w:b/>
                <w:bCs/>
              </w:rPr>
              <w:t>2022/23</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7E260178" w14:textId="77777777" w:rsidR="00B83F63" w:rsidRPr="00B83F63" w:rsidRDefault="00B83F63" w:rsidP="00B83F63">
            <w:pPr>
              <w:rPr>
                <w:b/>
                <w:bCs/>
              </w:rPr>
            </w:pPr>
            <w:r w:rsidRPr="00B83F63">
              <w:rPr>
                <w:b/>
                <w:bCs/>
              </w:rPr>
              <w:t>2023/24</w:t>
            </w:r>
          </w:p>
        </w:tc>
        <w:tc>
          <w:tcPr>
            <w:tcW w:w="1218" w:type="dxa"/>
            <w:tcBorders>
              <w:top w:val="single" w:sz="8" w:space="0" w:color="auto"/>
              <w:left w:val="nil"/>
              <w:bottom w:val="single" w:sz="8" w:space="0" w:color="auto"/>
              <w:right w:val="single" w:sz="8" w:space="0" w:color="auto"/>
            </w:tcBorders>
            <w:shd w:val="clear" w:color="auto" w:fill="D1D1D1"/>
            <w:hideMark/>
          </w:tcPr>
          <w:p w14:paraId="13135FFE" w14:textId="77777777" w:rsidR="00B83F63" w:rsidRPr="00B83F63" w:rsidRDefault="00B83F63" w:rsidP="00B83F63">
            <w:pPr>
              <w:rPr>
                <w:b/>
                <w:bCs/>
                <w:vertAlign w:val="superscript"/>
              </w:rPr>
            </w:pPr>
            <w:r w:rsidRPr="00B83F63">
              <w:rPr>
                <w:b/>
                <w:bCs/>
              </w:rPr>
              <w:t>  2024/25</w:t>
            </w:r>
            <w:r w:rsidRPr="00B83F63">
              <w:rPr>
                <w:b/>
                <w:bCs/>
                <w:vertAlign w:val="superscript"/>
              </w:rPr>
              <w:t>1</w:t>
            </w:r>
          </w:p>
        </w:tc>
      </w:tr>
      <w:tr w:rsidR="00B83F63" w:rsidRPr="00B83F63" w14:paraId="15E302EA"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766C" w14:textId="77777777" w:rsidR="00B83F63" w:rsidRPr="00B83F63" w:rsidRDefault="00B83F63" w:rsidP="00B83F63">
            <w:r w:rsidRPr="00B83F63">
              <w:t>Number of misconduct hearings</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3DF5D4F1" w14:textId="77777777" w:rsidR="00B83F63" w:rsidRPr="00B83F63" w:rsidRDefault="00B83F63" w:rsidP="00B83F63">
            <w:r w:rsidRPr="00B83F63">
              <w:t>14</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AF6F4E0" w14:textId="77777777" w:rsidR="00B83F63" w:rsidRPr="00B83F63" w:rsidRDefault="00B83F63" w:rsidP="00B83F63">
            <w:r w:rsidRPr="00B83F63">
              <w:t>29</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F1CE841" w14:textId="77777777" w:rsidR="00B83F63" w:rsidRPr="00B83F63" w:rsidRDefault="00B83F63" w:rsidP="00B83F63">
            <w:r w:rsidRPr="00B83F63">
              <w:t>37</w:t>
            </w:r>
          </w:p>
        </w:tc>
        <w:tc>
          <w:tcPr>
            <w:tcW w:w="1218" w:type="dxa"/>
            <w:tcBorders>
              <w:top w:val="nil"/>
              <w:left w:val="nil"/>
              <w:bottom w:val="single" w:sz="8" w:space="0" w:color="auto"/>
              <w:right w:val="single" w:sz="8" w:space="0" w:color="auto"/>
            </w:tcBorders>
            <w:hideMark/>
          </w:tcPr>
          <w:p w14:paraId="6306C5E6" w14:textId="77777777" w:rsidR="00B83F63" w:rsidRPr="00B83F63" w:rsidRDefault="00B83F63" w:rsidP="00B83F63">
            <w:r w:rsidRPr="00B83F63">
              <w:t>9</w:t>
            </w:r>
          </w:p>
        </w:tc>
      </w:tr>
    </w:tbl>
    <w:p w14:paraId="5BD763B9" w14:textId="5A7A251E" w:rsidR="00B83F63" w:rsidRPr="00B83F63" w:rsidRDefault="000C6321" w:rsidP="000C6321">
      <w:r>
        <w:rPr>
          <w:vertAlign w:val="superscript"/>
        </w:rPr>
        <w:t>1</w:t>
      </w:r>
      <w:r w:rsidR="00B83F63" w:rsidRPr="00B83F63">
        <w:t>2024/25 data up to 29/01/2025</w:t>
      </w:r>
    </w:p>
    <w:p w14:paraId="5732EB8F" w14:textId="77777777" w:rsidR="00B83F63" w:rsidRPr="00B83F63" w:rsidRDefault="00B83F63" w:rsidP="00B83F63"/>
    <w:p w14:paraId="5E55563E" w14:textId="77777777" w:rsidR="00E3643E" w:rsidRDefault="00E3643E" w:rsidP="00E3643E">
      <w:pPr>
        <w:pStyle w:val="Heading2"/>
      </w:pPr>
      <w:r w:rsidRPr="00E3643E">
        <w:t>A breakdown of the outcomes in each case that proceeded to a misconduct hearing</w:t>
      </w:r>
    </w:p>
    <w:p w14:paraId="11DC9DF6" w14:textId="77777777" w:rsidR="000C6321" w:rsidRPr="00B83F63" w:rsidRDefault="000C6321" w:rsidP="000C6321">
      <w:r w:rsidRPr="00B83F63">
        <w:t>Data provided is accurate as at 29/01/2025</w:t>
      </w:r>
    </w:p>
    <w:p w14:paraId="129C946E" w14:textId="77777777" w:rsidR="00B83F63" w:rsidRPr="00B83F63" w:rsidRDefault="00B83F63" w:rsidP="00B83F63">
      <w:pPr>
        <w:rPr>
          <w:i/>
          <w:iCs/>
        </w:rPr>
      </w:pPr>
      <w:r w:rsidRPr="00B83F63">
        <w:rPr>
          <w:i/>
          <w:iCs/>
        </w:rPr>
        <w:t>Table 3 – Outcomes of misconduct hearings per financial year</w:t>
      </w:r>
    </w:p>
    <w:tbl>
      <w:tblPr>
        <w:tblW w:w="10052" w:type="dxa"/>
        <w:tblCellMar>
          <w:left w:w="0" w:type="dxa"/>
          <w:right w:w="0" w:type="dxa"/>
        </w:tblCellMar>
        <w:tblLook w:val="04A0" w:firstRow="1" w:lastRow="0" w:firstColumn="1" w:lastColumn="0" w:noHBand="0" w:noVBand="1"/>
        <w:tblCaption w:val="Outcomes of misconduct hearings per financial year"/>
        <w:tblDescription w:val="Outcomes of misconduct hearings per financial year"/>
      </w:tblPr>
      <w:tblGrid>
        <w:gridCol w:w="5180"/>
        <w:gridCol w:w="1218"/>
        <w:gridCol w:w="1218"/>
        <w:gridCol w:w="1218"/>
        <w:gridCol w:w="1218"/>
      </w:tblGrid>
      <w:tr w:rsidR="00B83F63" w:rsidRPr="00B83F63" w14:paraId="238C6429" w14:textId="77777777" w:rsidTr="00B83F63">
        <w:trPr>
          <w:tblHeader/>
        </w:trPr>
        <w:tc>
          <w:tcPr>
            <w:tcW w:w="5180" w:type="dxa"/>
            <w:tcBorders>
              <w:top w:val="single" w:sz="8" w:space="0" w:color="auto"/>
              <w:left w:val="single" w:sz="8" w:space="0" w:color="auto"/>
              <w:bottom w:val="single" w:sz="8" w:space="0" w:color="auto"/>
              <w:right w:val="single" w:sz="8" w:space="0" w:color="auto"/>
            </w:tcBorders>
            <w:shd w:val="clear" w:color="auto" w:fill="D1D1D1"/>
            <w:tcMar>
              <w:top w:w="0" w:type="dxa"/>
              <w:left w:w="108" w:type="dxa"/>
              <w:bottom w:w="0" w:type="dxa"/>
              <w:right w:w="108" w:type="dxa"/>
            </w:tcMar>
            <w:hideMark/>
          </w:tcPr>
          <w:p w14:paraId="1BF6FEE7" w14:textId="77777777" w:rsidR="00B83F63" w:rsidRPr="00B83F63" w:rsidRDefault="00B83F63" w:rsidP="00B83F63">
            <w:pPr>
              <w:rPr>
                <w:i/>
                <w:iCs/>
              </w:rPr>
            </w:pP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6D9DAD92" w14:textId="77777777" w:rsidR="00B83F63" w:rsidRPr="00B83F63" w:rsidRDefault="00B83F63" w:rsidP="00B83F63">
            <w:pPr>
              <w:rPr>
                <w:b/>
                <w:bCs/>
              </w:rPr>
            </w:pPr>
            <w:r w:rsidRPr="00B83F63">
              <w:rPr>
                <w:b/>
                <w:bCs/>
              </w:rPr>
              <w:t>2021/22</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5518A915" w14:textId="77777777" w:rsidR="00B83F63" w:rsidRPr="00B83F63" w:rsidRDefault="00B83F63" w:rsidP="00B83F63">
            <w:pPr>
              <w:rPr>
                <w:b/>
                <w:bCs/>
              </w:rPr>
            </w:pPr>
            <w:r w:rsidRPr="00B83F63">
              <w:rPr>
                <w:b/>
                <w:bCs/>
              </w:rPr>
              <w:t>2022/23</w:t>
            </w:r>
          </w:p>
        </w:tc>
        <w:tc>
          <w:tcPr>
            <w:tcW w:w="1218" w:type="dxa"/>
            <w:tcBorders>
              <w:top w:val="single" w:sz="8" w:space="0" w:color="auto"/>
              <w:left w:val="nil"/>
              <w:bottom w:val="single" w:sz="8" w:space="0" w:color="auto"/>
              <w:right w:val="single" w:sz="8" w:space="0" w:color="auto"/>
            </w:tcBorders>
            <w:shd w:val="clear" w:color="auto" w:fill="D1D1D1"/>
            <w:tcMar>
              <w:top w:w="0" w:type="dxa"/>
              <w:left w:w="108" w:type="dxa"/>
              <w:bottom w:w="0" w:type="dxa"/>
              <w:right w:w="108" w:type="dxa"/>
            </w:tcMar>
            <w:hideMark/>
          </w:tcPr>
          <w:p w14:paraId="2E1B6BF6" w14:textId="77777777" w:rsidR="00B83F63" w:rsidRPr="00B83F63" w:rsidRDefault="00B83F63" w:rsidP="00B83F63">
            <w:pPr>
              <w:rPr>
                <w:b/>
                <w:bCs/>
              </w:rPr>
            </w:pPr>
            <w:r w:rsidRPr="00B83F63">
              <w:rPr>
                <w:b/>
                <w:bCs/>
              </w:rPr>
              <w:t>2023/24</w:t>
            </w:r>
          </w:p>
        </w:tc>
        <w:tc>
          <w:tcPr>
            <w:tcW w:w="1218" w:type="dxa"/>
            <w:tcBorders>
              <w:top w:val="single" w:sz="8" w:space="0" w:color="auto"/>
              <w:left w:val="nil"/>
              <w:bottom w:val="single" w:sz="8" w:space="0" w:color="auto"/>
              <w:right w:val="single" w:sz="8" w:space="0" w:color="auto"/>
            </w:tcBorders>
            <w:shd w:val="clear" w:color="auto" w:fill="D1D1D1"/>
            <w:hideMark/>
          </w:tcPr>
          <w:p w14:paraId="6D099455" w14:textId="77777777" w:rsidR="00B83F63" w:rsidRPr="00B83F63" w:rsidRDefault="00B83F63" w:rsidP="00B83F63">
            <w:pPr>
              <w:rPr>
                <w:b/>
                <w:bCs/>
                <w:vertAlign w:val="superscript"/>
              </w:rPr>
            </w:pPr>
            <w:r w:rsidRPr="00B83F63">
              <w:rPr>
                <w:b/>
                <w:bCs/>
              </w:rPr>
              <w:t>  2024/25</w:t>
            </w:r>
            <w:r w:rsidRPr="00B83F63">
              <w:rPr>
                <w:b/>
                <w:bCs/>
                <w:vertAlign w:val="superscript"/>
              </w:rPr>
              <w:t>1</w:t>
            </w:r>
          </w:p>
        </w:tc>
      </w:tr>
      <w:tr w:rsidR="00B83F63" w:rsidRPr="00B83F63" w14:paraId="3AB8A479"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B464B" w14:textId="77777777" w:rsidR="00B83F63" w:rsidRPr="00B83F63" w:rsidRDefault="00B83F63" w:rsidP="00B83F63">
            <w:r w:rsidRPr="00B83F63">
              <w:t>Resigned/Retired prior to hearing</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BF49D6F" w14:textId="77777777" w:rsidR="00B83F63" w:rsidRPr="00B83F63" w:rsidRDefault="00B83F63" w:rsidP="00B83F63">
            <w:r w:rsidRPr="00B83F63">
              <w:t>9</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248A4A3" w14:textId="77777777" w:rsidR="00B83F63" w:rsidRPr="00B83F63" w:rsidRDefault="00B83F63" w:rsidP="00B83F63">
            <w:r w:rsidRPr="00B83F63">
              <w:t>14</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7E0B7B0" w14:textId="77777777" w:rsidR="00B83F63" w:rsidRPr="00B83F63" w:rsidRDefault="00B83F63" w:rsidP="00B83F63">
            <w:r w:rsidRPr="00B83F63">
              <w:t>12</w:t>
            </w:r>
          </w:p>
        </w:tc>
        <w:tc>
          <w:tcPr>
            <w:tcW w:w="1218" w:type="dxa"/>
            <w:tcBorders>
              <w:top w:val="nil"/>
              <w:left w:val="nil"/>
              <w:bottom w:val="single" w:sz="8" w:space="0" w:color="auto"/>
              <w:right w:val="single" w:sz="8" w:space="0" w:color="auto"/>
            </w:tcBorders>
            <w:hideMark/>
          </w:tcPr>
          <w:p w14:paraId="62F3B6CC" w14:textId="77777777" w:rsidR="00B83F63" w:rsidRPr="00B83F63" w:rsidRDefault="00B83F63" w:rsidP="00B83F63">
            <w:r w:rsidRPr="00B83F63">
              <w:t>3</w:t>
            </w:r>
          </w:p>
        </w:tc>
      </w:tr>
      <w:tr w:rsidR="00B83F63" w:rsidRPr="00B83F63" w14:paraId="59DEA7A7"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A932B" w14:textId="77777777" w:rsidR="00B83F63" w:rsidRPr="00B83F63" w:rsidRDefault="00B83F63" w:rsidP="00B83F63">
            <w:r w:rsidRPr="00B83F63">
              <w:t>Final Written Warning</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73CB0F6" w14:textId="77777777" w:rsidR="00B83F63" w:rsidRPr="00B83F63" w:rsidRDefault="00B83F63" w:rsidP="00B83F63">
            <w:r w:rsidRPr="00B83F63">
              <w:t>2</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E5DAD20" w14:textId="77777777" w:rsidR="00B83F63" w:rsidRPr="00B83F63" w:rsidRDefault="00B83F63" w:rsidP="00B83F63">
            <w:r w:rsidRPr="00B83F63">
              <w:t>6</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AC783B5" w14:textId="77777777" w:rsidR="00B83F63" w:rsidRPr="00B83F63" w:rsidRDefault="00B83F63" w:rsidP="00B83F63">
            <w:r w:rsidRPr="00B83F63">
              <w:t>6</w:t>
            </w:r>
          </w:p>
        </w:tc>
        <w:tc>
          <w:tcPr>
            <w:tcW w:w="1218" w:type="dxa"/>
            <w:tcBorders>
              <w:top w:val="nil"/>
              <w:left w:val="nil"/>
              <w:bottom w:val="single" w:sz="8" w:space="0" w:color="auto"/>
              <w:right w:val="single" w:sz="8" w:space="0" w:color="auto"/>
            </w:tcBorders>
            <w:hideMark/>
          </w:tcPr>
          <w:p w14:paraId="5314A3D9" w14:textId="77777777" w:rsidR="00B83F63" w:rsidRPr="00B83F63" w:rsidRDefault="00B83F63" w:rsidP="00B83F63">
            <w:r w:rsidRPr="00B83F63">
              <w:t>0</w:t>
            </w:r>
          </w:p>
        </w:tc>
      </w:tr>
      <w:tr w:rsidR="00B83F63" w:rsidRPr="00B83F63" w14:paraId="01FB96A8"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29A1E" w14:textId="77777777" w:rsidR="00B83F63" w:rsidRPr="00B83F63" w:rsidRDefault="00B83F63" w:rsidP="00B83F63">
            <w:r w:rsidRPr="00B83F63">
              <w:t>Written Warning</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36F52AF"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0C3B8A1" w14:textId="77777777" w:rsidR="00B83F63" w:rsidRPr="00B83F63" w:rsidRDefault="00B83F63" w:rsidP="00B83F63">
            <w:r w:rsidRPr="00B83F63">
              <w:t>2</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6F8E9CAD"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hideMark/>
          </w:tcPr>
          <w:p w14:paraId="4D1D8EC9" w14:textId="77777777" w:rsidR="00B83F63" w:rsidRPr="00B83F63" w:rsidRDefault="00B83F63" w:rsidP="00B83F63">
            <w:r w:rsidRPr="00B83F63">
              <w:t>0</w:t>
            </w:r>
          </w:p>
        </w:tc>
      </w:tr>
      <w:tr w:rsidR="00B83F63" w:rsidRPr="00B83F63" w14:paraId="3EB4FA0B"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5225" w14:textId="77777777" w:rsidR="00B83F63" w:rsidRPr="00B83F63" w:rsidRDefault="00B83F63" w:rsidP="00B83F63">
            <w:r w:rsidRPr="00B83F63">
              <w:t>Demotion</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B8F283D"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4E0791FD"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3786AFC"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hideMark/>
          </w:tcPr>
          <w:p w14:paraId="0DACF162" w14:textId="77777777" w:rsidR="00B83F63" w:rsidRPr="00B83F63" w:rsidRDefault="00B83F63" w:rsidP="00B83F63">
            <w:r w:rsidRPr="00B83F63">
              <w:t>0</w:t>
            </w:r>
          </w:p>
        </w:tc>
      </w:tr>
      <w:tr w:rsidR="00B83F63" w:rsidRPr="00B83F63" w14:paraId="5903D894"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94FBD" w14:textId="77777777" w:rsidR="00B83F63" w:rsidRPr="00B83F63" w:rsidRDefault="00B83F63" w:rsidP="00B83F63">
            <w:r w:rsidRPr="00B83F63">
              <w:t>Dismissed</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4A4D408"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26736F5" w14:textId="77777777" w:rsidR="00B83F63" w:rsidRPr="00B83F63" w:rsidRDefault="00B83F63" w:rsidP="00B83F63">
            <w:r w:rsidRPr="00B83F63">
              <w:t>6</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CB43F2D" w14:textId="77777777" w:rsidR="00B83F63" w:rsidRPr="00B83F63" w:rsidRDefault="00B83F63" w:rsidP="00B83F63">
            <w:r w:rsidRPr="00B83F63">
              <w:t>9</w:t>
            </w:r>
          </w:p>
        </w:tc>
        <w:tc>
          <w:tcPr>
            <w:tcW w:w="1218" w:type="dxa"/>
            <w:tcBorders>
              <w:top w:val="nil"/>
              <w:left w:val="nil"/>
              <w:bottom w:val="single" w:sz="8" w:space="0" w:color="auto"/>
              <w:right w:val="single" w:sz="8" w:space="0" w:color="auto"/>
            </w:tcBorders>
            <w:hideMark/>
          </w:tcPr>
          <w:p w14:paraId="29E88A06" w14:textId="77777777" w:rsidR="00B83F63" w:rsidRPr="00B83F63" w:rsidRDefault="00B83F63" w:rsidP="00B83F63">
            <w:r w:rsidRPr="00B83F63">
              <w:t>1</w:t>
            </w:r>
          </w:p>
        </w:tc>
      </w:tr>
      <w:tr w:rsidR="00B83F63" w:rsidRPr="00B83F63" w14:paraId="593AAE46"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7BCA" w14:textId="77777777" w:rsidR="00B83F63" w:rsidRPr="00B83F63" w:rsidRDefault="00B83F63" w:rsidP="00B83F63">
            <w:r w:rsidRPr="00B83F63">
              <w:t>Verbal Warning</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BD19594"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2641427"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5465D749"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hideMark/>
          </w:tcPr>
          <w:p w14:paraId="6200F16C" w14:textId="77777777" w:rsidR="00B83F63" w:rsidRPr="00B83F63" w:rsidRDefault="00B83F63" w:rsidP="00B83F63">
            <w:r w:rsidRPr="00B83F63">
              <w:t>0</w:t>
            </w:r>
          </w:p>
        </w:tc>
      </w:tr>
      <w:tr w:rsidR="00B83F63" w:rsidRPr="00B83F63" w14:paraId="63889210"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9ECD" w14:textId="77777777" w:rsidR="00B83F63" w:rsidRPr="00B83F63" w:rsidRDefault="00B83F63" w:rsidP="00B83F63">
            <w:r w:rsidRPr="00B83F63">
              <w:t>No Misconduct</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FA5037A"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8833378"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C5A3564" w14:textId="77777777" w:rsidR="00B83F63" w:rsidRPr="00B83F63" w:rsidRDefault="00B83F63" w:rsidP="00B83F63">
            <w:r w:rsidRPr="00B83F63">
              <w:t>1</w:t>
            </w:r>
          </w:p>
        </w:tc>
        <w:tc>
          <w:tcPr>
            <w:tcW w:w="1218" w:type="dxa"/>
            <w:tcBorders>
              <w:top w:val="nil"/>
              <w:left w:val="nil"/>
              <w:bottom w:val="single" w:sz="8" w:space="0" w:color="auto"/>
              <w:right w:val="single" w:sz="8" w:space="0" w:color="auto"/>
            </w:tcBorders>
            <w:hideMark/>
          </w:tcPr>
          <w:p w14:paraId="2BBF4360" w14:textId="77777777" w:rsidR="00B83F63" w:rsidRPr="00B83F63" w:rsidRDefault="00B83F63" w:rsidP="00B83F63">
            <w:r w:rsidRPr="00B83F63">
              <w:t>0</w:t>
            </w:r>
          </w:p>
        </w:tc>
      </w:tr>
      <w:tr w:rsidR="00B83F63" w:rsidRPr="00B83F63" w14:paraId="5A78A1B8"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86800" w14:textId="77777777" w:rsidR="00B83F63" w:rsidRPr="00B83F63" w:rsidRDefault="00B83F63" w:rsidP="00B83F63">
            <w:r w:rsidRPr="00B83F63">
              <w:t>To be Held</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F9A88F7"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068531B8" w14:textId="77777777" w:rsidR="00B83F63" w:rsidRPr="00B83F63" w:rsidRDefault="00B83F63" w:rsidP="00B83F63">
            <w:r w:rsidRPr="00B83F63">
              <w:t>0</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3ED105FC" w14:textId="77777777" w:rsidR="00B83F63" w:rsidRPr="00B83F63" w:rsidRDefault="00B83F63" w:rsidP="00B83F63">
            <w:r w:rsidRPr="00B83F63">
              <w:t>7</w:t>
            </w:r>
          </w:p>
        </w:tc>
        <w:tc>
          <w:tcPr>
            <w:tcW w:w="1218" w:type="dxa"/>
            <w:tcBorders>
              <w:top w:val="nil"/>
              <w:left w:val="nil"/>
              <w:bottom w:val="single" w:sz="8" w:space="0" w:color="auto"/>
              <w:right w:val="single" w:sz="8" w:space="0" w:color="auto"/>
            </w:tcBorders>
            <w:hideMark/>
          </w:tcPr>
          <w:p w14:paraId="73DF597A" w14:textId="77777777" w:rsidR="00B83F63" w:rsidRPr="00B83F63" w:rsidRDefault="00B83F63" w:rsidP="00B83F63">
            <w:r w:rsidRPr="00B83F63">
              <w:t>6</w:t>
            </w:r>
          </w:p>
        </w:tc>
      </w:tr>
      <w:tr w:rsidR="00B83F63" w:rsidRPr="00B83F63" w14:paraId="552595F6" w14:textId="77777777" w:rsidTr="00B83F63">
        <w:tc>
          <w:tcPr>
            <w:tcW w:w="51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0E82F" w14:textId="77777777" w:rsidR="00B83F63" w:rsidRPr="00B83F63" w:rsidRDefault="00B83F63" w:rsidP="00B83F63">
            <w:pPr>
              <w:rPr>
                <w:b/>
                <w:bCs/>
              </w:rPr>
            </w:pPr>
            <w:r w:rsidRPr="00B83F63">
              <w:rPr>
                <w:b/>
                <w:bCs/>
              </w:rPr>
              <w:t>Total</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2F3832D5" w14:textId="77777777" w:rsidR="00B83F63" w:rsidRPr="00B83F63" w:rsidRDefault="00B83F63" w:rsidP="00B83F63">
            <w:pPr>
              <w:rPr>
                <w:b/>
                <w:bCs/>
              </w:rPr>
            </w:pPr>
            <w:r w:rsidRPr="00B83F63">
              <w:rPr>
                <w:b/>
                <w:bCs/>
              </w:rPr>
              <w:t>14</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1A02F477" w14:textId="77777777" w:rsidR="00B83F63" w:rsidRPr="00B83F63" w:rsidRDefault="00B83F63" w:rsidP="00B83F63">
            <w:pPr>
              <w:rPr>
                <w:b/>
                <w:bCs/>
              </w:rPr>
            </w:pPr>
            <w:r w:rsidRPr="00B83F63">
              <w:rPr>
                <w:b/>
                <w:bCs/>
              </w:rPr>
              <w:t>29</w:t>
            </w:r>
          </w:p>
        </w:tc>
        <w:tc>
          <w:tcPr>
            <w:tcW w:w="1218" w:type="dxa"/>
            <w:tcBorders>
              <w:top w:val="nil"/>
              <w:left w:val="nil"/>
              <w:bottom w:val="single" w:sz="8" w:space="0" w:color="auto"/>
              <w:right w:val="single" w:sz="8" w:space="0" w:color="auto"/>
            </w:tcBorders>
            <w:tcMar>
              <w:top w:w="0" w:type="dxa"/>
              <w:left w:w="108" w:type="dxa"/>
              <w:bottom w:w="0" w:type="dxa"/>
              <w:right w:w="108" w:type="dxa"/>
            </w:tcMar>
            <w:hideMark/>
          </w:tcPr>
          <w:p w14:paraId="7E693FF6" w14:textId="77777777" w:rsidR="00B83F63" w:rsidRPr="00B83F63" w:rsidRDefault="00B83F63" w:rsidP="00B83F63">
            <w:pPr>
              <w:rPr>
                <w:b/>
                <w:bCs/>
              </w:rPr>
            </w:pPr>
            <w:r w:rsidRPr="00B83F63">
              <w:rPr>
                <w:b/>
                <w:bCs/>
              </w:rPr>
              <w:t>37</w:t>
            </w:r>
          </w:p>
        </w:tc>
        <w:tc>
          <w:tcPr>
            <w:tcW w:w="1218" w:type="dxa"/>
            <w:tcBorders>
              <w:top w:val="nil"/>
              <w:left w:val="nil"/>
              <w:bottom w:val="single" w:sz="8" w:space="0" w:color="auto"/>
              <w:right w:val="single" w:sz="8" w:space="0" w:color="auto"/>
            </w:tcBorders>
            <w:hideMark/>
          </w:tcPr>
          <w:p w14:paraId="26C7AC31" w14:textId="77777777" w:rsidR="00B83F63" w:rsidRPr="00B83F63" w:rsidRDefault="00B83F63" w:rsidP="00B83F63">
            <w:pPr>
              <w:rPr>
                <w:b/>
                <w:bCs/>
              </w:rPr>
            </w:pPr>
            <w:r w:rsidRPr="00B83F63">
              <w:rPr>
                <w:b/>
                <w:bCs/>
              </w:rPr>
              <w:t>10</w:t>
            </w:r>
          </w:p>
        </w:tc>
      </w:tr>
    </w:tbl>
    <w:p w14:paraId="240D4131" w14:textId="7AF48299" w:rsidR="00B83F63" w:rsidRPr="00B83F63" w:rsidRDefault="000C6321" w:rsidP="000C6321">
      <w:r>
        <w:rPr>
          <w:vertAlign w:val="superscript"/>
        </w:rPr>
        <w:t>1</w:t>
      </w:r>
      <w:r w:rsidR="00B83F63" w:rsidRPr="00B83F63">
        <w:t>2024/25 data up to 29/01/2025</w:t>
      </w:r>
    </w:p>
    <w:p w14:paraId="18D0C5AC" w14:textId="77777777" w:rsidR="00B83F63" w:rsidRPr="00B83F63" w:rsidRDefault="00B83F63" w:rsidP="00B83F63"/>
    <w:p w14:paraId="0ADA7EEA" w14:textId="77777777" w:rsidR="00E3643E" w:rsidRDefault="00E3643E" w:rsidP="00E3643E">
      <w:pPr>
        <w:pStyle w:val="Heading2"/>
      </w:pPr>
      <w:r w:rsidRPr="00E3643E">
        <w:lastRenderedPageBreak/>
        <w:t>A breakdown of the type of misconduct alleged (e.g. Dishonesty, abuse of authority, discrimination)</w:t>
      </w:r>
    </w:p>
    <w:p w14:paraId="5C2BC576" w14:textId="3F5BEFCD" w:rsidR="00B83F63" w:rsidRPr="00B83F63" w:rsidRDefault="00B83F63" w:rsidP="00B83F63">
      <w:r w:rsidRPr="00B83F63">
        <w:t xml:space="preserve">Please note that each hearing may involve multiple allegations. Therefore, the number of allegations may vary from the number of hearings. </w:t>
      </w:r>
    </w:p>
    <w:p w14:paraId="16432300" w14:textId="141AC9A2" w:rsidR="00B83F63" w:rsidRDefault="00B83F63" w:rsidP="00B83F63">
      <w:r w:rsidRPr="00B83F63">
        <w:t xml:space="preserve">Please also note that allegations recorded at the preliminary assessment </w:t>
      </w:r>
      <w:r w:rsidR="004108F4" w:rsidRPr="00B83F63">
        <w:t>stage,</w:t>
      </w:r>
      <w:r w:rsidRPr="00B83F63">
        <w:t xml:space="preserve"> or the misconduct investigation stage may not necessarily reach the stage at which hearings are scheduled. </w:t>
      </w:r>
    </w:p>
    <w:p w14:paraId="0E7B7376" w14:textId="77777777" w:rsidR="000C6321" w:rsidRPr="00B83F63" w:rsidRDefault="000C6321" w:rsidP="000C6321">
      <w:r w:rsidRPr="00B83F63">
        <w:t xml:space="preserve">Data is based on the preliminary assessment date. </w:t>
      </w:r>
    </w:p>
    <w:p w14:paraId="31092958" w14:textId="77777777" w:rsidR="000C6321" w:rsidRPr="00B83F63" w:rsidRDefault="000C6321" w:rsidP="000C6321">
      <w:r w:rsidRPr="00B83F63">
        <w:t>Data provided is accurate as at 29/01/2025</w:t>
      </w:r>
    </w:p>
    <w:p w14:paraId="2A33FAF8" w14:textId="77777777" w:rsidR="000C6321" w:rsidRDefault="000C6321" w:rsidP="00B83F63">
      <w:pPr>
        <w:rPr>
          <w:i/>
          <w:iCs/>
        </w:rPr>
      </w:pPr>
    </w:p>
    <w:p w14:paraId="76B7FD46" w14:textId="4783E6A4" w:rsidR="00B83F63" w:rsidRPr="00B83F63" w:rsidRDefault="00B83F63" w:rsidP="00B83F63">
      <w:pPr>
        <w:rPr>
          <w:i/>
          <w:iCs/>
          <w:vertAlign w:val="superscript"/>
        </w:rPr>
      </w:pPr>
      <w:r w:rsidRPr="00B83F63">
        <w:rPr>
          <w:i/>
          <w:iCs/>
        </w:rPr>
        <w:t>Table 4: Allegations subject to preliminary assessment and progressed to a scheduled hearing per financial year</w:t>
      </w:r>
    </w:p>
    <w:tbl>
      <w:tblPr>
        <w:tblW w:w="9468" w:type="dxa"/>
        <w:tblCellMar>
          <w:left w:w="0" w:type="dxa"/>
          <w:right w:w="0" w:type="dxa"/>
        </w:tblCellMar>
        <w:tblLook w:val="04A0" w:firstRow="1" w:lastRow="0" w:firstColumn="1" w:lastColumn="0" w:noHBand="0" w:noVBand="1"/>
        <w:tblCaption w:val="Allegations subject to preliminary assessment and progressed to a scheduled hearing per financial year"/>
        <w:tblDescription w:val="Allegations subject to preliminary assessment and progressed to a scheduled hearing per financial year"/>
      </w:tblPr>
      <w:tblGrid>
        <w:gridCol w:w="5120"/>
        <w:gridCol w:w="1087"/>
        <w:gridCol w:w="1087"/>
        <w:gridCol w:w="1087"/>
        <w:gridCol w:w="1173"/>
      </w:tblGrid>
      <w:tr w:rsidR="00B83F63" w:rsidRPr="00B83F63" w14:paraId="78C43C5F" w14:textId="77777777" w:rsidTr="004108F4">
        <w:trPr>
          <w:trHeight w:val="310"/>
          <w:tblHeader/>
        </w:trPr>
        <w:tc>
          <w:tcPr>
            <w:tcW w:w="51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B7C703A" w14:textId="77777777" w:rsidR="00B83F63" w:rsidRPr="00B83F63" w:rsidRDefault="00B83F63" w:rsidP="00B83F63">
            <w:pPr>
              <w:rPr>
                <w:b/>
                <w:bCs/>
              </w:rPr>
            </w:pPr>
            <w:r w:rsidRPr="00B83F63">
              <w:rPr>
                <w:b/>
                <w:bCs/>
              </w:rPr>
              <w:t>Allegation</w:t>
            </w:r>
          </w:p>
        </w:tc>
        <w:tc>
          <w:tcPr>
            <w:tcW w:w="108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FEA160C" w14:textId="77777777" w:rsidR="00B83F63" w:rsidRPr="00B83F63" w:rsidRDefault="00B83F63" w:rsidP="00B83F63">
            <w:pPr>
              <w:rPr>
                <w:b/>
                <w:bCs/>
              </w:rPr>
            </w:pPr>
            <w:r w:rsidRPr="00B83F63">
              <w:rPr>
                <w:b/>
                <w:bCs/>
              </w:rPr>
              <w:t>2021/22</w:t>
            </w:r>
          </w:p>
        </w:tc>
        <w:tc>
          <w:tcPr>
            <w:tcW w:w="108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25C8DF3" w14:textId="77777777" w:rsidR="00B83F63" w:rsidRPr="00B83F63" w:rsidRDefault="00B83F63" w:rsidP="00B83F63">
            <w:pPr>
              <w:rPr>
                <w:b/>
                <w:bCs/>
              </w:rPr>
            </w:pPr>
            <w:r w:rsidRPr="00B83F63">
              <w:rPr>
                <w:b/>
                <w:bCs/>
              </w:rPr>
              <w:t>2022/23</w:t>
            </w:r>
          </w:p>
        </w:tc>
        <w:tc>
          <w:tcPr>
            <w:tcW w:w="108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3BE509D" w14:textId="77777777" w:rsidR="00B83F63" w:rsidRPr="00B83F63" w:rsidRDefault="00B83F63" w:rsidP="00B83F63">
            <w:pPr>
              <w:rPr>
                <w:b/>
                <w:bCs/>
              </w:rPr>
            </w:pPr>
            <w:r w:rsidRPr="00B83F63">
              <w:rPr>
                <w:b/>
                <w:bCs/>
              </w:rPr>
              <w:t>2023/24</w:t>
            </w:r>
          </w:p>
        </w:tc>
        <w:tc>
          <w:tcPr>
            <w:tcW w:w="108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7274664" w14:textId="77777777" w:rsidR="00B83F63" w:rsidRPr="00B83F63" w:rsidRDefault="00B83F63" w:rsidP="00B83F63">
            <w:pPr>
              <w:rPr>
                <w:b/>
                <w:bCs/>
                <w:vertAlign w:val="superscript"/>
              </w:rPr>
            </w:pPr>
            <w:r w:rsidRPr="00B83F63">
              <w:rPr>
                <w:b/>
                <w:bCs/>
              </w:rPr>
              <w:t>2024/25</w:t>
            </w:r>
            <w:r w:rsidRPr="00B83F63">
              <w:rPr>
                <w:b/>
                <w:bCs/>
                <w:vertAlign w:val="superscript"/>
              </w:rPr>
              <w:t>1</w:t>
            </w:r>
          </w:p>
        </w:tc>
      </w:tr>
      <w:tr w:rsidR="00B83F63" w:rsidRPr="00B83F63" w14:paraId="0618130E"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4D04BF" w14:textId="77777777" w:rsidR="00B83F63" w:rsidRPr="00B83F63" w:rsidRDefault="00B83F63" w:rsidP="00B83F63">
            <w:r w:rsidRPr="00B83F63">
              <w:t>Authority, Respect and Courtesy</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BCD27" w14:textId="77777777" w:rsidR="00B83F63" w:rsidRPr="00B83F63" w:rsidRDefault="00B83F63" w:rsidP="00B83F63">
            <w:r w:rsidRPr="00B83F63">
              <w:t>2</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A5317" w14:textId="77777777" w:rsidR="00B83F63" w:rsidRPr="00B83F63" w:rsidRDefault="00B83F63" w:rsidP="00B83F63">
            <w:r w:rsidRPr="00B83F63">
              <w:t>8</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2985B" w14:textId="77777777" w:rsidR="00B83F63" w:rsidRPr="00B83F63" w:rsidRDefault="00B83F63" w:rsidP="00B83F63">
            <w:r w:rsidRPr="00B83F63">
              <w:t>15</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6BD6B1" w14:textId="77777777" w:rsidR="00B83F63" w:rsidRPr="00B83F63" w:rsidRDefault="00B83F63" w:rsidP="00B83F63">
            <w:r w:rsidRPr="00B83F63">
              <w:t>1</w:t>
            </w:r>
          </w:p>
        </w:tc>
      </w:tr>
      <w:tr w:rsidR="00B83F63" w:rsidRPr="00B83F63" w14:paraId="0D6302C7"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9FAFE3" w14:textId="77777777" w:rsidR="00B83F63" w:rsidRPr="00B83F63" w:rsidRDefault="00B83F63" w:rsidP="00B83F63">
            <w:r w:rsidRPr="00B83F63">
              <w:t>Challenging and Reporting Improper Conduct</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2B9352"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BF944B" w14:textId="77777777" w:rsidR="00B83F63" w:rsidRPr="00B83F63" w:rsidRDefault="00B83F63" w:rsidP="00B83F63">
            <w:r w:rsidRPr="00B83F63">
              <w:t>3</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8E37A"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B9E40" w14:textId="77777777" w:rsidR="00B83F63" w:rsidRPr="00B83F63" w:rsidRDefault="00B83F63" w:rsidP="00B83F63">
            <w:r w:rsidRPr="00B83F63">
              <w:t>0</w:t>
            </w:r>
          </w:p>
        </w:tc>
      </w:tr>
      <w:tr w:rsidR="00B83F63" w:rsidRPr="00B83F63" w14:paraId="393DD95B"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6E33C8" w14:textId="77777777" w:rsidR="00B83F63" w:rsidRPr="00B83F63" w:rsidRDefault="00B83F63" w:rsidP="00B83F63">
            <w:r w:rsidRPr="00B83F63">
              <w:t>Conduct likely to bring discredit</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54EEE"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1E10C"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D34202" w14:textId="77777777" w:rsidR="00B83F63" w:rsidRPr="00B83F63" w:rsidRDefault="00B83F63" w:rsidP="00B83F63">
            <w:r w:rsidRPr="00B83F63">
              <w:t>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8067D" w14:textId="77777777" w:rsidR="00B83F63" w:rsidRPr="00B83F63" w:rsidRDefault="00B83F63" w:rsidP="00B83F63">
            <w:r w:rsidRPr="00B83F63">
              <w:t>1</w:t>
            </w:r>
          </w:p>
        </w:tc>
      </w:tr>
      <w:tr w:rsidR="00B83F63" w:rsidRPr="00B83F63" w14:paraId="36AE46CD"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C839C6" w14:textId="77777777" w:rsidR="00B83F63" w:rsidRPr="00B83F63" w:rsidRDefault="00B83F63" w:rsidP="00B83F63">
            <w:r w:rsidRPr="00B83F63">
              <w:t>Confidentiality</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D1FDE"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C77AA" w14:textId="77777777" w:rsidR="00B83F63" w:rsidRPr="00B83F63" w:rsidRDefault="00B83F63" w:rsidP="00B83F63">
            <w:r w:rsidRPr="00B83F63">
              <w:t>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7A3CD" w14:textId="77777777" w:rsidR="00B83F63" w:rsidRPr="00B83F63" w:rsidRDefault="00B83F63" w:rsidP="00B83F63">
            <w:r w:rsidRPr="00B83F63">
              <w:t>8</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43D0CF" w14:textId="77777777" w:rsidR="00B83F63" w:rsidRPr="00B83F63" w:rsidRDefault="00B83F63" w:rsidP="00B83F63">
            <w:r w:rsidRPr="00B83F63">
              <w:t>0</w:t>
            </w:r>
          </w:p>
        </w:tc>
      </w:tr>
      <w:tr w:rsidR="00B83F63" w:rsidRPr="00B83F63" w14:paraId="36BEED48"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DF09C0" w14:textId="77777777" w:rsidR="00B83F63" w:rsidRPr="00B83F63" w:rsidRDefault="00B83F63" w:rsidP="00B83F63">
            <w:r w:rsidRPr="00B83F63">
              <w:t>Discreditable Conduct</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5FE70" w14:textId="77777777" w:rsidR="00B83F63" w:rsidRPr="00B83F63" w:rsidRDefault="00B83F63" w:rsidP="00B83F63">
            <w:r w:rsidRPr="00B83F63">
              <w:t>14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EF9E9" w14:textId="77777777" w:rsidR="00B83F63" w:rsidRPr="00B83F63" w:rsidRDefault="00B83F63" w:rsidP="00B83F63">
            <w:r w:rsidRPr="00B83F63">
              <w:t>16</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4636B6" w14:textId="77777777" w:rsidR="00B83F63" w:rsidRPr="00B83F63" w:rsidRDefault="00B83F63" w:rsidP="00B83F63">
            <w:r w:rsidRPr="00B83F63">
              <w:t>47</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DC081" w14:textId="77777777" w:rsidR="00B83F63" w:rsidRPr="00B83F63" w:rsidRDefault="00B83F63" w:rsidP="00B83F63">
            <w:r w:rsidRPr="00B83F63">
              <w:t>12</w:t>
            </w:r>
          </w:p>
        </w:tc>
      </w:tr>
      <w:tr w:rsidR="00B83F63" w:rsidRPr="00B83F63" w14:paraId="77646BE4"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A1A385" w14:textId="77777777" w:rsidR="00B83F63" w:rsidRPr="00B83F63" w:rsidRDefault="00B83F63" w:rsidP="00B83F63">
            <w:r w:rsidRPr="00B83F63">
              <w:t>Duties and Responsibilities</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B0048"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69144" w14:textId="77777777" w:rsidR="00B83F63" w:rsidRPr="00B83F63" w:rsidRDefault="00B83F63" w:rsidP="00B83F63">
            <w:r w:rsidRPr="00B83F63">
              <w:t>1</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CF9FA4" w14:textId="77777777" w:rsidR="00B83F63" w:rsidRPr="00B83F63" w:rsidRDefault="00B83F63" w:rsidP="00B83F63">
            <w:r w:rsidRPr="00B83F63">
              <w:t>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C2A6D" w14:textId="77777777" w:rsidR="00B83F63" w:rsidRPr="00B83F63" w:rsidRDefault="00B83F63" w:rsidP="00B83F63">
            <w:r w:rsidRPr="00B83F63">
              <w:t>0</w:t>
            </w:r>
          </w:p>
        </w:tc>
      </w:tr>
      <w:tr w:rsidR="00B83F63" w:rsidRPr="00B83F63" w14:paraId="0C0070B4"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8BF0ED" w14:textId="77777777" w:rsidR="00B83F63" w:rsidRPr="00B83F63" w:rsidRDefault="00B83F63" w:rsidP="00B83F63">
            <w:r w:rsidRPr="00B83F63">
              <w:t>Honesty and Integrity</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A6B1E7"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03C3C8" w14:textId="77777777" w:rsidR="00B83F63" w:rsidRPr="00B83F63" w:rsidRDefault="00B83F63" w:rsidP="00B83F63">
            <w:r w:rsidRPr="00B83F63">
              <w:t>4</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AB9D3" w14:textId="77777777" w:rsidR="00B83F63" w:rsidRPr="00B83F63" w:rsidRDefault="00B83F63" w:rsidP="00B83F63">
            <w:r w:rsidRPr="00B83F63">
              <w:t>9</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7E2B1" w14:textId="77777777" w:rsidR="00B83F63" w:rsidRPr="00B83F63" w:rsidRDefault="00B83F63" w:rsidP="00B83F63">
            <w:r w:rsidRPr="00B83F63">
              <w:t>2</w:t>
            </w:r>
          </w:p>
        </w:tc>
      </w:tr>
      <w:tr w:rsidR="00B83F63" w:rsidRPr="00B83F63" w14:paraId="4B99A24D"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F0590C" w14:textId="77777777" w:rsidR="00B83F63" w:rsidRPr="00B83F63" w:rsidRDefault="00B83F63" w:rsidP="00B83F63">
            <w:r w:rsidRPr="00B83F63">
              <w:t>Orders and Instructions</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94E8EB"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B844C2" w14:textId="77777777" w:rsidR="00B83F63" w:rsidRPr="00B83F63" w:rsidRDefault="00B83F63" w:rsidP="00B83F63">
            <w:r w:rsidRPr="00B83F63">
              <w:t>1</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328199" w14:textId="77777777" w:rsidR="00B83F63" w:rsidRPr="00B83F63" w:rsidRDefault="00B83F63" w:rsidP="00B83F63">
            <w:r w:rsidRPr="00B83F63">
              <w:t>1</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28A1F" w14:textId="77777777" w:rsidR="00B83F63" w:rsidRPr="00B83F63" w:rsidRDefault="00B83F63" w:rsidP="00B83F63">
            <w:r w:rsidRPr="00B83F63">
              <w:t>1</w:t>
            </w:r>
          </w:p>
        </w:tc>
      </w:tr>
      <w:tr w:rsidR="00B83F63" w:rsidRPr="00B83F63" w14:paraId="7C86E641"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F4320C" w14:textId="77777777" w:rsidR="00B83F63" w:rsidRPr="00B83F63" w:rsidRDefault="00B83F63" w:rsidP="00B83F63">
            <w:r w:rsidRPr="00B83F63">
              <w:t>Use of Force</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0DA8A"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CB45B" w14:textId="77777777" w:rsidR="00B83F63" w:rsidRPr="00B83F63" w:rsidRDefault="00B83F63" w:rsidP="00B83F63">
            <w:r w:rsidRPr="00B83F63">
              <w:t>0</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DFC0D4" w14:textId="77777777" w:rsidR="00B83F63" w:rsidRPr="00B83F63" w:rsidRDefault="00B83F63" w:rsidP="00B83F63">
            <w:r w:rsidRPr="00B83F63">
              <w:t>1</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56094" w14:textId="77777777" w:rsidR="00B83F63" w:rsidRPr="00B83F63" w:rsidRDefault="00B83F63" w:rsidP="00B83F63">
            <w:r w:rsidRPr="00B83F63">
              <w:t>0</w:t>
            </w:r>
          </w:p>
        </w:tc>
      </w:tr>
      <w:tr w:rsidR="00B83F63" w:rsidRPr="00B83F63" w14:paraId="213F139B" w14:textId="77777777" w:rsidTr="00B83F63">
        <w:trPr>
          <w:trHeight w:val="310"/>
        </w:trPr>
        <w:tc>
          <w:tcPr>
            <w:tcW w:w="5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3C394F" w14:textId="77777777" w:rsidR="00B83F63" w:rsidRPr="00B83F63" w:rsidRDefault="00B83F63" w:rsidP="00B83F63">
            <w:pPr>
              <w:rPr>
                <w:b/>
                <w:bCs/>
              </w:rPr>
            </w:pPr>
            <w:r w:rsidRPr="00B83F63">
              <w:rPr>
                <w:b/>
                <w:bCs/>
              </w:rPr>
              <w:t>Total</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F628A" w14:textId="77777777" w:rsidR="00B83F63" w:rsidRPr="00B83F63" w:rsidRDefault="00B83F63" w:rsidP="00B83F63">
            <w:pPr>
              <w:rPr>
                <w:b/>
                <w:bCs/>
              </w:rPr>
            </w:pPr>
            <w:r w:rsidRPr="00B83F63">
              <w:rPr>
                <w:b/>
                <w:bCs/>
              </w:rPr>
              <w:t>16</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2435FB" w14:textId="77777777" w:rsidR="00B83F63" w:rsidRPr="00B83F63" w:rsidRDefault="00B83F63" w:rsidP="00B83F63">
            <w:pPr>
              <w:rPr>
                <w:b/>
                <w:bCs/>
              </w:rPr>
            </w:pPr>
            <w:r w:rsidRPr="00B83F63">
              <w:rPr>
                <w:b/>
                <w:bCs/>
              </w:rPr>
              <w:t>37</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379C99" w14:textId="77777777" w:rsidR="00B83F63" w:rsidRPr="00B83F63" w:rsidRDefault="00B83F63" w:rsidP="00B83F63">
            <w:pPr>
              <w:rPr>
                <w:b/>
                <w:bCs/>
              </w:rPr>
            </w:pPr>
            <w:r w:rsidRPr="00B83F63">
              <w:rPr>
                <w:b/>
                <w:bCs/>
              </w:rPr>
              <w:t>89</w:t>
            </w:r>
          </w:p>
        </w:tc>
        <w:tc>
          <w:tcPr>
            <w:tcW w:w="10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F7F2F" w14:textId="77777777" w:rsidR="00B83F63" w:rsidRPr="00B83F63" w:rsidRDefault="00B83F63" w:rsidP="00B83F63">
            <w:pPr>
              <w:rPr>
                <w:b/>
                <w:bCs/>
              </w:rPr>
            </w:pPr>
            <w:r w:rsidRPr="00B83F63">
              <w:rPr>
                <w:b/>
                <w:bCs/>
              </w:rPr>
              <w:t>17</w:t>
            </w:r>
          </w:p>
        </w:tc>
      </w:tr>
    </w:tbl>
    <w:p w14:paraId="25A80C8C" w14:textId="76EC89D5" w:rsidR="00B83F63" w:rsidRPr="00B83F63" w:rsidRDefault="000C6321" w:rsidP="000C6321">
      <w:r>
        <w:rPr>
          <w:vertAlign w:val="superscript"/>
        </w:rPr>
        <w:t>1</w:t>
      </w:r>
      <w:r w:rsidR="00B83F63" w:rsidRPr="00B83F63">
        <w:t>2024/25 data up to 29/01/2025</w:t>
      </w:r>
    </w:p>
    <w:p w14:paraId="6E2467B6" w14:textId="77777777" w:rsidR="00B83F63" w:rsidRPr="00B83F63" w:rsidRDefault="00B83F63" w:rsidP="00B83F63"/>
    <w:p w14:paraId="7B4395A5" w14:textId="77777777" w:rsidR="00E3643E" w:rsidRPr="00B83F63" w:rsidRDefault="00E3643E" w:rsidP="00E3643E">
      <w:pPr>
        <w:pStyle w:val="Heading2"/>
        <w:rPr>
          <w:color w:val="FF0000"/>
        </w:rPr>
      </w:pPr>
      <w:r w:rsidRPr="00E3643E">
        <w:lastRenderedPageBreak/>
        <w:t xml:space="preserve">Please provide copies of summaries of the Modus Operandi (MO) sections for incident reports relating to misconduct cases that went to a hearing ensuring that </w:t>
      </w:r>
      <w:r w:rsidRPr="00C239A6">
        <w:rPr>
          <w:color w:val="auto"/>
        </w:rPr>
        <w:t>all personal data is redacted to align with privacy regulation.</w:t>
      </w:r>
    </w:p>
    <w:p w14:paraId="2C0A5161" w14:textId="60A26730" w:rsidR="00662538" w:rsidRDefault="00662538" w:rsidP="00662538">
      <w:r>
        <w:t>Unfortunately,</w:t>
      </w:r>
      <w:r w:rsidRPr="00453F0A">
        <w:t xml:space="preserve"> I estimate that it would cost</w:t>
      </w:r>
      <w:r>
        <w:t xml:space="preserve"> </w:t>
      </w:r>
      <w:r w:rsidRPr="00453F0A">
        <w:t>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FBE6904" w14:textId="37BFA075" w:rsidR="00153E5B" w:rsidRDefault="00153E5B" w:rsidP="00662538">
      <w:r>
        <w:t xml:space="preserve">To explain, to provide the information requested would require a manual assessment of each misconduct file for every MO in each hearing, this is an exercise that would greatly exceed the cost threshold set out within the Act. </w:t>
      </w:r>
    </w:p>
    <w:p w14:paraId="3FC1EBBF" w14:textId="77777777" w:rsidR="00A85D09" w:rsidRDefault="00A85D09" w:rsidP="00E3643E">
      <w:pPr>
        <w:pStyle w:val="Heading2"/>
      </w:pPr>
    </w:p>
    <w:p w14:paraId="6AD0D572" w14:textId="140931A3" w:rsidR="00E3643E" w:rsidRPr="00E3643E" w:rsidRDefault="00E3643E" w:rsidP="00E3643E">
      <w:pPr>
        <w:pStyle w:val="Heading2"/>
      </w:pPr>
      <w:r w:rsidRPr="00E3643E">
        <w:t>The outcome of the above hearings </w:t>
      </w:r>
    </w:p>
    <w:p w14:paraId="68997604" w14:textId="77777777" w:rsidR="00E3643E" w:rsidRPr="00E3643E" w:rsidRDefault="00E3643E" w:rsidP="00E3643E">
      <w:pPr>
        <w:pStyle w:val="Heading2"/>
      </w:pPr>
      <w:r w:rsidRPr="00E3643E">
        <w:t xml:space="preserve">How many officers resigned before the proceedings were completed </w:t>
      </w:r>
    </w:p>
    <w:p w14:paraId="34BDABB8" w14:textId="272BC6B9" w:rsidR="00255F1E" w:rsidRPr="00B11A55" w:rsidRDefault="004108F4" w:rsidP="00793DD5">
      <w:pPr>
        <w:tabs>
          <w:tab w:val="left" w:pos="5400"/>
        </w:tabs>
      </w:pPr>
      <w:r>
        <w:t>In response to the</w:t>
      </w:r>
      <w:r w:rsidR="004F4D6C">
        <w:t>se</w:t>
      </w:r>
      <w:r>
        <w:t xml:space="preserve"> two questions, please see the data held within </w:t>
      </w:r>
      <w:r w:rsidR="000C6321">
        <w:t>T</w:t>
      </w:r>
      <w:r>
        <w:t>able 3</w:t>
      </w:r>
      <w:r w:rsidR="004F4D6C">
        <w:t xml:space="preserve"> above</w:t>
      </w:r>
      <w: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AD67E" w14:textId="77777777" w:rsidR="0030740A" w:rsidRDefault="0030740A" w:rsidP="00491644">
      <w:r>
        <w:separator/>
      </w:r>
    </w:p>
  </w:endnote>
  <w:endnote w:type="continuationSeparator" w:id="0">
    <w:p w14:paraId="39FA9332" w14:textId="77777777" w:rsidR="0030740A" w:rsidRDefault="0030740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CEC3" w14:textId="77777777" w:rsidR="0030740A" w:rsidRDefault="0030740A" w:rsidP="00491644">
      <w:r>
        <w:separator/>
      </w:r>
    </w:p>
  </w:footnote>
  <w:footnote w:type="continuationSeparator" w:id="0">
    <w:p w14:paraId="055161F4" w14:textId="77777777" w:rsidR="0030740A" w:rsidRDefault="0030740A"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D7262"/>
    <w:multiLevelType w:val="multilevel"/>
    <w:tmpl w:val="E3BA1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D465D"/>
    <w:multiLevelType w:val="hybridMultilevel"/>
    <w:tmpl w:val="54E42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322055"/>
    <w:multiLevelType w:val="hybridMultilevel"/>
    <w:tmpl w:val="79400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DF4C21"/>
    <w:multiLevelType w:val="hybridMultilevel"/>
    <w:tmpl w:val="ED3EF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B3509E"/>
    <w:multiLevelType w:val="hybridMultilevel"/>
    <w:tmpl w:val="30B04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38746">
    <w:abstractNumId w:val="4"/>
  </w:num>
  <w:num w:numId="2" w16cid:durableId="188223498">
    <w:abstractNumId w:val="0"/>
  </w:num>
  <w:num w:numId="3" w16cid:durableId="1566722155">
    <w:abstractNumId w:val="3"/>
  </w:num>
  <w:num w:numId="4" w16cid:durableId="520441000">
    <w:abstractNumId w:val="5"/>
  </w:num>
  <w:num w:numId="5" w16cid:durableId="1243951882">
    <w:abstractNumId w:val="2"/>
  </w:num>
  <w:num w:numId="6" w16cid:durableId="805704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4C6"/>
    <w:rsid w:val="00090F3B"/>
    <w:rsid w:val="000C6321"/>
    <w:rsid w:val="000E2F19"/>
    <w:rsid w:val="000E6526"/>
    <w:rsid w:val="00112261"/>
    <w:rsid w:val="00141533"/>
    <w:rsid w:val="00151DD0"/>
    <w:rsid w:val="00153E5B"/>
    <w:rsid w:val="00167528"/>
    <w:rsid w:val="00195CC4"/>
    <w:rsid w:val="00207326"/>
    <w:rsid w:val="00217ED7"/>
    <w:rsid w:val="00253DF6"/>
    <w:rsid w:val="00255F1E"/>
    <w:rsid w:val="002F5274"/>
    <w:rsid w:val="0030740A"/>
    <w:rsid w:val="00364ECA"/>
    <w:rsid w:val="0036503B"/>
    <w:rsid w:val="00376A4A"/>
    <w:rsid w:val="003D6D03"/>
    <w:rsid w:val="003E12CA"/>
    <w:rsid w:val="004010DC"/>
    <w:rsid w:val="004108F4"/>
    <w:rsid w:val="004240F9"/>
    <w:rsid w:val="004341F0"/>
    <w:rsid w:val="00456324"/>
    <w:rsid w:val="00475460"/>
    <w:rsid w:val="00490317"/>
    <w:rsid w:val="00491644"/>
    <w:rsid w:val="00496A08"/>
    <w:rsid w:val="004E1605"/>
    <w:rsid w:val="004F4D6C"/>
    <w:rsid w:val="004F653C"/>
    <w:rsid w:val="00540A52"/>
    <w:rsid w:val="00557306"/>
    <w:rsid w:val="00645CFA"/>
    <w:rsid w:val="00662538"/>
    <w:rsid w:val="00685219"/>
    <w:rsid w:val="006D5799"/>
    <w:rsid w:val="0070690F"/>
    <w:rsid w:val="007440EA"/>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85D09"/>
    <w:rsid w:val="00AC443C"/>
    <w:rsid w:val="00B033D6"/>
    <w:rsid w:val="00B11A55"/>
    <w:rsid w:val="00B17211"/>
    <w:rsid w:val="00B461B2"/>
    <w:rsid w:val="00B654B6"/>
    <w:rsid w:val="00B71B3C"/>
    <w:rsid w:val="00B83F63"/>
    <w:rsid w:val="00BC389E"/>
    <w:rsid w:val="00BE1888"/>
    <w:rsid w:val="00BF6B81"/>
    <w:rsid w:val="00C077A8"/>
    <w:rsid w:val="00C126E5"/>
    <w:rsid w:val="00C14FF4"/>
    <w:rsid w:val="00C1679F"/>
    <w:rsid w:val="00C239A6"/>
    <w:rsid w:val="00C606A2"/>
    <w:rsid w:val="00C63872"/>
    <w:rsid w:val="00C84948"/>
    <w:rsid w:val="00C94ED8"/>
    <w:rsid w:val="00CB5317"/>
    <w:rsid w:val="00CF1111"/>
    <w:rsid w:val="00D05706"/>
    <w:rsid w:val="00D27DC5"/>
    <w:rsid w:val="00D47E36"/>
    <w:rsid w:val="00D72D25"/>
    <w:rsid w:val="00D870E5"/>
    <w:rsid w:val="00E25AB4"/>
    <w:rsid w:val="00E3643E"/>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5002">
      <w:bodyDiv w:val="1"/>
      <w:marLeft w:val="0"/>
      <w:marRight w:val="0"/>
      <w:marTop w:val="0"/>
      <w:marBottom w:val="0"/>
      <w:divBdr>
        <w:top w:val="none" w:sz="0" w:space="0" w:color="auto"/>
        <w:left w:val="none" w:sz="0" w:space="0" w:color="auto"/>
        <w:bottom w:val="none" w:sz="0" w:space="0" w:color="auto"/>
        <w:right w:val="none" w:sz="0" w:space="0" w:color="auto"/>
      </w:divBdr>
    </w:div>
    <w:div w:id="270557480">
      <w:bodyDiv w:val="1"/>
      <w:marLeft w:val="0"/>
      <w:marRight w:val="0"/>
      <w:marTop w:val="0"/>
      <w:marBottom w:val="0"/>
      <w:divBdr>
        <w:top w:val="none" w:sz="0" w:space="0" w:color="auto"/>
        <w:left w:val="none" w:sz="0" w:space="0" w:color="auto"/>
        <w:bottom w:val="none" w:sz="0" w:space="0" w:color="auto"/>
        <w:right w:val="none" w:sz="0" w:space="0" w:color="auto"/>
      </w:divBdr>
    </w:div>
    <w:div w:id="543568900">
      <w:bodyDiv w:val="1"/>
      <w:marLeft w:val="0"/>
      <w:marRight w:val="0"/>
      <w:marTop w:val="0"/>
      <w:marBottom w:val="0"/>
      <w:divBdr>
        <w:top w:val="none" w:sz="0" w:space="0" w:color="auto"/>
        <w:left w:val="none" w:sz="0" w:space="0" w:color="auto"/>
        <w:bottom w:val="none" w:sz="0" w:space="0" w:color="auto"/>
        <w:right w:val="none" w:sz="0" w:space="0" w:color="auto"/>
      </w:divBdr>
    </w:div>
    <w:div w:id="697200986">
      <w:bodyDiv w:val="1"/>
      <w:marLeft w:val="0"/>
      <w:marRight w:val="0"/>
      <w:marTop w:val="0"/>
      <w:marBottom w:val="0"/>
      <w:divBdr>
        <w:top w:val="none" w:sz="0" w:space="0" w:color="auto"/>
        <w:left w:val="none" w:sz="0" w:space="0" w:color="auto"/>
        <w:bottom w:val="none" w:sz="0" w:space="0" w:color="auto"/>
        <w:right w:val="none" w:sz="0" w:space="0" w:color="auto"/>
      </w:divBdr>
    </w:div>
    <w:div w:id="770316639">
      <w:bodyDiv w:val="1"/>
      <w:marLeft w:val="0"/>
      <w:marRight w:val="0"/>
      <w:marTop w:val="0"/>
      <w:marBottom w:val="0"/>
      <w:divBdr>
        <w:top w:val="none" w:sz="0" w:space="0" w:color="auto"/>
        <w:left w:val="none" w:sz="0" w:space="0" w:color="auto"/>
        <w:bottom w:val="none" w:sz="0" w:space="0" w:color="auto"/>
        <w:right w:val="none" w:sz="0" w:space="0" w:color="auto"/>
      </w:divBdr>
    </w:div>
    <w:div w:id="779910604">
      <w:bodyDiv w:val="1"/>
      <w:marLeft w:val="0"/>
      <w:marRight w:val="0"/>
      <w:marTop w:val="0"/>
      <w:marBottom w:val="0"/>
      <w:divBdr>
        <w:top w:val="none" w:sz="0" w:space="0" w:color="auto"/>
        <w:left w:val="none" w:sz="0" w:space="0" w:color="auto"/>
        <w:bottom w:val="none" w:sz="0" w:space="0" w:color="auto"/>
        <w:right w:val="none" w:sz="0" w:space="0" w:color="auto"/>
      </w:divBdr>
    </w:div>
    <w:div w:id="901907658">
      <w:bodyDiv w:val="1"/>
      <w:marLeft w:val="0"/>
      <w:marRight w:val="0"/>
      <w:marTop w:val="0"/>
      <w:marBottom w:val="0"/>
      <w:divBdr>
        <w:top w:val="none" w:sz="0" w:space="0" w:color="auto"/>
        <w:left w:val="none" w:sz="0" w:space="0" w:color="auto"/>
        <w:bottom w:val="none" w:sz="0" w:space="0" w:color="auto"/>
        <w:right w:val="none" w:sz="0" w:space="0" w:color="auto"/>
      </w:divBdr>
    </w:div>
    <w:div w:id="940339243">
      <w:bodyDiv w:val="1"/>
      <w:marLeft w:val="0"/>
      <w:marRight w:val="0"/>
      <w:marTop w:val="0"/>
      <w:marBottom w:val="0"/>
      <w:divBdr>
        <w:top w:val="none" w:sz="0" w:space="0" w:color="auto"/>
        <w:left w:val="none" w:sz="0" w:space="0" w:color="auto"/>
        <w:bottom w:val="none" w:sz="0" w:space="0" w:color="auto"/>
        <w:right w:val="none" w:sz="0" w:space="0" w:color="auto"/>
      </w:divBdr>
    </w:div>
    <w:div w:id="1470054633">
      <w:bodyDiv w:val="1"/>
      <w:marLeft w:val="0"/>
      <w:marRight w:val="0"/>
      <w:marTop w:val="0"/>
      <w:marBottom w:val="0"/>
      <w:divBdr>
        <w:top w:val="none" w:sz="0" w:space="0" w:color="auto"/>
        <w:left w:val="none" w:sz="0" w:space="0" w:color="auto"/>
        <w:bottom w:val="none" w:sz="0" w:space="0" w:color="auto"/>
        <w:right w:val="none" w:sz="0" w:space="0" w:color="auto"/>
      </w:divBdr>
    </w:div>
    <w:div w:id="1518155175">
      <w:bodyDiv w:val="1"/>
      <w:marLeft w:val="0"/>
      <w:marRight w:val="0"/>
      <w:marTop w:val="0"/>
      <w:marBottom w:val="0"/>
      <w:divBdr>
        <w:top w:val="none" w:sz="0" w:space="0" w:color="auto"/>
        <w:left w:val="none" w:sz="0" w:space="0" w:color="auto"/>
        <w:bottom w:val="none" w:sz="0" w:space="0" w:color="auto"/>
        <w:right w:val="none" w:sz="0" w:space="0" w:color="auto"/>
      </w:divBdr>
    </w:div>
    <w:div w:id="1573538239">
      <w:bodyDiv w:val="1"/>
      <w:marLeft w:val="0"/>
      <w:marRight w:val="0"/>
      <w:marTop w:val="0"/>
      <w:marBottom w:val="0"/>
      <w:divBdr>
        <w:top w:val="none" w:sz="0" w:space="0" w:color="auto"/>
        <w:left w:val="none" w:sz="0" w:space="0" w:color="auto"/>
        <w:bottom w:val="none" w:sz="0" w:space="0" w:color="auto"/>
        <w:right w:val="none" w:sz="0" w:space="0" w:color="auto"/>
      </w:divBdr>
    </w:div>
    <w:div w:id="1762675812">
      <w:bodyDiv w:val="1"/>
      <w:marLeft w:val="0"/>
      <w:marRight w:val="0"/>
      <w:marTop w:val="0"/>
      <w:marBottom w:val="0"/>
      <w:divBdr>
        <w:top w:val="none" w:sz="0" w:space="0" w:color="auto"/>
        <w:left w:val="none" w:sz="0" w:space="0" w:color="auto"/>
        <w:bottom w:val="none" w:sz="0" w:space="0" w:color="auto"/>
        <w:right w:val="none" w:sz="0" w:space="0" w:color="auto"/>
      </w:divBdr>
    </w:div>
    <w:div w:id="20646716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065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2025-04-02T15:02:00Z</dcterms:created>
  <dcterms:modified xsi:type="dcterms:W3CDTF">2025-04-02T15:02:00Z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