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90446D" w:rsidR="00B17211" w:rsidRPr="00B17211" w:rsidRDefault="00B17211" w:rsidP="007F490F">
            <w:r w:rsidRPr="007F490F">
              <w:rPr>
                <w:rStyle w:val="Heading2Char"/>
              </w:rPr>
              <w:t>Our reference:</w:t>
            </w:r>
            <w:r>
              <w:t xml:space="preserve">  FOI 2</w:t>
            </w:r>
            <w:r w:rsidR="00B654B6">
              <w:t>4</w:t>
            </w:r>
            <w:r>
              <w:t>-</w:t>
            </w:r>
            <w:r w:rsidR="00856403">
              <w:t>1800</w:t>
            </w:r>
          </w:p>
          <w:p w14:paraId="34BDABA6" w14:textId="582DAC1D" w:rsidR="00B17211" w:rsidRDefault="00456324" w:rsidP="00EE2373">
            <w:r w:rsidRPr="007F490F">
              <w:rPr>
                <w:rStyle w:val="Heading2Char"/>
              </w:rPr>
              <w:t>Respon</w:t>
            </w:r>
            <w:r w:rsidR="007D55F6">
              <w:rPr>
                <w:rStyle w:val="Heading2Char"/>
              </w:rPr>
              <w:t>ded to:</w:t>
            </w:r>
            <w:r w:rsidR="007F490F">
              <w:t xml:space="preserve">  </w:t>
            </w:r>
            <w:r w:rsidR="00BF03E8">
              <w:t>06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1CBA51" w14:textId="77777777" w:rsidR="00856403" w:rsidRPr="00856403" w:rsidRDefault="00856403" w:rsidP="00856403">
      <w:pPr>
        <w:tabs>
          <w:tab w:val="left" w:pos="5400"/>
        </w:tabs>
        <w:rPr>
          <w:rFonts w:eastAsiaTheme="majorEastAsia" w:cstheme="majorBidi"/>
          <w:b/>
          <w:color w:val="000000" w:themeColor="text1"/>
          <w:szCs w:val="26"/>
        </w:rPr>
      </w:pPr>
      <w:r w:rsidRPr="00856403">
        <w:rPr>
          <w:rFonts w:eastAsiaTheme="majorEastAsia" w:cstheme="majorBidi"/>
          <w:b/>
          <w:color w:val="000000" w:themeColor="text1"/>
          <w:szCs w:val="26"/>
        </w:rPr>
        <w:t>I am requesting figures for probationer intake for each year since the establishment of Police Scotland in 2013, broken down by the number and percentage of those probationers who were male and the number who were female.</w:t>
      </w:r>
    </w:p>
    <w:p w14:paraId="5565CB12" w14:textId="0D07CB92" w:rsidR="00B7095D" w:rsidRDefault="00856403" w:rsidP="00856403">
      <w:pPr>
        <w:tabs>
          <w:tab w:val="left" w:pos="5400"/>
        </w:tabs>
        <w:rPr>
          <w:color w:val="000000"/>
        </w:rPr>
      </w:pPr>
      <w:r>
        <w:rPr>
          <w:color w:val="000000"/>
        </w:rPr>
        <w:t>The below table provides the headcount figure of total probationer recruits</w:t>
      </w:r>
      <w:r w:rsidR="00B7095D">
        <w:rPr>
          <w:color w:val="000000"/>
        </w:rPr>
        <w:t xml:space="preserve">, by </w:t>
      </w:r>
      <w:r>
        <w:rPr>
          <w:color w:val="000000"/>
        </w:rPr>
        <w:t xml:space="preserve">calendar year from April 2015 </w:t>
      </w:r>
      <w:r w:rsidR="00B7095D">
        <w:rPr>
          <w:color w:val="000000"/>
        </w:rPr>
        <w:t>to</w:t>
      </w:r>
      <w:r>
        <w:rPr>
          <w:color w:val="000000"/>
        </w:rPr>
        <w:t xml:space="preserve"> July 2024.  </w:t>
      </w:r>
    </w:p>
    <w:p w14:paraId="6ECA0D1D" w14:textId="77777777" w:rsidR="00B7095D" w:rsidRDefault="00856403" w:rsidP="00856403">
      <w:pPr>
        <w:tabs>
          <w:tab w:val="left" w:pos="5400"/>
        </w:tabs>
        <w:rPr>
          <w:color w:val="000000"/>
        </w:rPr>
      </w:pPr>
      <w:r w:rsidRPr="00744CA9">
        <w:rPr>
          <w:color w:val="000000"/>
        </w:rPr>
        <w:t>Police Scotland’s System to Co-ordination Personnel and Establishment (SCOPE) database</w:t>
      </w:r>
      <w:r>
        <w:rPr>
          <w:color w:val="000000"/>
        </w:rPr>
        <w:t xml:space="preserve"> was unified into a single system in April 2015</w:t>
      </w:r>
      <w:r w:rsidR="00B7095D">
        <w:rPr>
          <w:color w:val="000000"/>
        </w:rPr>
        <w:t>.</w:t>
      </w:r>
    </w:p>
    <w:p w14:paraId="19D82D20" w14:textId="6D95A098" w:rsidR="0065348C" w:rsidRPr="00B7095D" w:rsidRDefault="00B7095D" w:rsidP="00B7095D">
      <w:r>
        <w:rPr>
          <w:color w:val="000000"/>
        </w:rPr>
        <w:t xml:space="preserve">For the period prior, </w:t>
      </w:r>
      <w:r w:rsidR="0065348C">
        <w:t>given the level of research involved,</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 </w:t>
      </w:r>
      <w:r w:rsidRPr="00453F0A">
        <w:t>Excessive Cost of Compliance.</w:t>
      </w:r>
    </w:p>
    <w:tbl>
      <w:tblPr>
        <w:tblW w:w="4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bationer Figures, broken down by male or female. "/>
        <w:tblDescription w:val="Probationer Figures, broken down by male or female. "/>
      </w:tblPr>
      <w:tblGrid>
        <w:gridCol w:w="993"/>
        <w:gridCol w:w="1457"/>
        <w:gridCol w:w="1134"/>
        <w:gridCol w:w="1417"/>
      </w:tblGrid>
      <w:tr w:rsidR="00856403" w:rsidRPr="00B7095D" w14:paraId="7310BFA8" w14:textId="77777777" w:rsidTr="00B7095D">
        <w:trPr>
          <w:trHeight w:val="290"/>
        </w:trPr>
        <w:tc>
          <w:tcPr>
            <w:tcW w:w="993" w:type="dxa"/>
            <w:shd w:val="clear" w:color="auto" w:fill="D9D9D9" w:themeFill="background1" w:themeFillShade="D9"/>
            <w:noWrap/>
            <w:vAlign w:val="bottom"/>
            <w:hideMark/>
          </w:tcPr>
          <w:p w14:paraId="0857717B" w14:textId="77777777" w:rsidR="00856403" w:rsidRPr="00B7095D" w:rsidRDefault="00856403" w:rsidP="00B7095D">
            <w:pPr>
              <w:spacing w:line="240" w:lineRule="auto"/>
              <w:rPr>
                <w:b/>
                <w:bCs/>
                <w:lang w:eastAsia="en-GB"/>
              </w:rPr>
            </w:pPr>
            <w:r w:rsidRPr="00B7095D">
              <w:rPr>
                <w:b/>
                <w:bCs/>
                <w:lang w:eastAsia="en-GB"/>
              </w:rPr>
              <w:t>Year</w:t>
            </w:r>
          </w:p>
        </w:tc>
        <w:tc>
          <w:tcPr>
            <w:tcW w:w="1214" w:type="dxa"/>
            <w:shd w:val="clear" w:color="auto" w:fill="D9D9D9" w:themeFill="background1" w:themeFillShade="D9"/>
            <w:noWrap/>
            <w:vAlign w:val="bottom"/>
            <w:hideMark/>
          </w:tcPr>
          <w:p w14:paraId="1DA940FF" w14:textId="77777777" w:rsidR="00856403" w:rsidRPr="00B7095D" w:rsidRDefault="00856403" w:rsidP="00B7095D">
            <w:pPr>
              <w:spacing w:line="240" w:lineRule="auto"/>
              <w:jc w:val="center"/>
              <w:rPr>
                <w:b/>
                <w:bCs/>
                <w:lang w:eastAsia="en-GB"/>
              </w:rPr>
            </w:pPr>
            <w:r w:rsidRPr="00B7095D">
              <w:rPr>
                <w:b/>
                <w:bCs/>
                <w:lang w:eastAsia="en-GB"/>
              </w:rPr>
              <w:t>Headcount</w:t>
            </w:r>
          </w:p>
        </w:tc>
        <w:tc>
          <w:tcPr>
            <w:tcW w:w="1134" w:type="dxa"/>
            <w:shd w:val="clear" w:color="auto" w:fill="D9D9D9" w:themeFill="background1" w:themeFillShade="D9"/>
            <w:noWrap/>
            <w:vAlign w:val="bottom"/>
            <w:hideMark/>
          </w:tcPr>
          <w:p w14:paraId="012F2ACA" w14:textId="77777777" w:rsidR="00856403" w:rsidRPr="00B7095D" w:rsidRDefault="00856403" w:rsidP="00B7095D">
            <w:pPr>
              <w:spacing w:line="240" w:lineRule="auto"/>
              <w:jc w:val="center"/>
              <w:rPr>
                <w:b/>
                <w:bCs/>
                <w:lang w:eastAsia="en-GB"/>
              </w:rPr>
            </w:pPr>
            <w:r w:rsidRPr="00B7095D">
              <w:rPr>
                <w:b/>
                <w:bCs/>
                <w:lang w:eastAsia="en-GB"/>
              </w:rPr>
              <w:t>% Male</w:t>
            </w:r>
          </w:p>
        </w:tc>
        <w:tc>
          <w:tcPr>
            <w:tcW w:w="1417" w:type="dxa"/>
            <w:shd w:val="clear" w:color="auto" w:fill="D9D9D9" w:themeFill="background1" w:themeFillShade="D9"/>
            <w:noWrap/>
            <w:vAlign w:val="bottom"/>
            <w:hideMark/>
          </w:tcPr>
          <w:p w14:paraId="09894B0C" w14:textId="77777777" w:rsidR="00856403" w:rsidRPr="00B7095D" w:rsidRDefault="00856403" w:rsidP="00B7095D">
            <w:pPr>
              <w:spacing w:line="240" w:lineRule="auto"/>
              <w:jc w:val="center"/>
              <w:rPr>
                <w:b/>
                <w:bCs/>
                <w:lang w:eastAsia="en-GB"/>
              </w:rPr>
            </w:pPr>
            <w:r w:rsidRPr="00B7095D">
              <w:rPr>
                <w:b/>
                <w:bCs/>
                <w:lang w:eastAsia="en-GB"/>
              </w:rPr>
              <w:t>% Female</w:t>
            </w:r>
          </w:p>
        </w:tc>
      </w:tr>
      <w:tr w:rsidR="00856403" w:rsidRPr="00050CA0" w14:paraId="163E448A" w14:textId="77777777" w:rsidTr="00B7095D">
        <w:trPr>
          <w:trHeight w:val="290"/>
        </w:trPr>
        <w:tc>
          <w:tcPr>
            <w:tcW w:w="993" w:type="dxa"/>
            <w:shd w:val="clear" w:color="auto" w:fill="auto"/>
            <w:noWrap/>
            <w:vAlign w:val="bottom"/>
            <w:hideMark/>
          </w:tcPr>
          <w:p w14:paraId="6495937E" w14:textId="77777777" w:rsidR="00856403" w:rsidRPr="00050CA0" w:rsidRDefault="00856403" w:rsidP="00B7095D">
            <w:pPr>
              <w:spacing w:line="240" w:lineRule="auto"/>
              <w:rPr>
                <w:lang w:eastAsia="en-GB"/>
              </w:rPr>
            </w:pPr>
            <w:r w:rsidRPr="00050CA0">
              <w:rPr>
                <w:lang w:eastAsia="en-GB"/>
              </w:rPr>
              <w:t>2015</w:t>
            </w:r>
          </w:p>
        </w:tc>
        <w:tc>
          <w:tcPr>
            <w:tcW w:w="1214" w:type="dxa"/>
            <w:shd w:val="clear" w:color="auto" w:fill="auto"/>
            <w:noWrap/>
            <w:vAlign w:val="bottom"/>
            <w:hideMark/>
          </w:tcPr>
          <w:p w14:paraId="594829F4" w14:textId="77777777" w:rsidR="00856403" w:rsidRPr="00050CA0" w:rsidRDefault="00856403" w:rsidP="00B7095D">
            <w:pPr>
              <w:spacing w:line="240" w:lineRule="auto"/>
              <w:rPr>
                <w:lang w:eastAsia="en-GB"/>
              </w:rPr>
            </w:pPr>
            <w:r w:rsidRPr="00050CA0">
              <w:rPr>
                <w:lang w:eastAsia="en-GB"/>
              </w:rPr>
              <w:t>713</w:t>
            </w:r>
          </w:p>
        </w:tc>
        <w:tc>
          <w:tcPr>
            <w:tcW w:w="1134" w:type="dxa"/>
            <w:shd w:val="clear" w:color="auto" w:fill="auto"/>
            <w:noWrap/>
            <w:vAlign w:val="bottom"/>
            <w:hideMark/>
          </w:tcPr>
          <w:p w14:paraId="407E6609" w14:textId="77777777" w:rsidR="00856403" w:rsidRPr="00050CA0" w:rsidRDefault="00856403" w:rsidP="00B7095D">
            <w:pPr>
              <w:spacing w:line="240" w:lineRule="auto"/>
              <w:rPr>
                <w:lang w:eastAsia="en-GB"/>
              </w:rPr>
            </w:pPr>
            <w:r w:rsidRPr="00050CA0">
              <w:rPr>
                <w:lang w:eastAsia="en-GB"/>
              </w:rPr>
              <w:t>69.4%</w:t>
            </w:r>
          </w:p>
        </w:tc>
        <w:tc>
          <w:tcPr>
            <w:tcW w:w="1417" w:type="dxa"/>
            <w:shd w:val="clear" w:color="auto" w:fill="auto"/>
            <w:noWrap/>
            <w:vAlign w:val="bottom"/>
            <w:hideMark/>
          </w:tcPr>
          <w:p w14:paraId="4C1D2C6E" w14:textId="77777777" w:rsidR="00856403" w:rsidRPr="00050CA0" w:rsidRDefault="00856403" w:rsidP="00B7095D">
            <w:pPr>
              <w:spacing w:line="240" w:lineRule="auto"/>
              <w:rPr>
                <w:lang w:eastAsia="en-GB"/>
              </w:rPr>
            </w:pPr>
            <w:r w:rsidRPr="00050CA0">
              <w:rPr>
                <w:lang w:eastAsia="en-GB"/>
              </w:rPr>
              <w:t>30.6%</w:t>
            </w:r>
          </w:p>
        </w:tc>
      </w:tr>
      <w:tr w:rsidR="00856403" w:rsidRPr="00050CA0" w14:paraId="50C1F959" w14:textId="77777777" w:rsidTr="00B7095D">
        <w:trPr>
          <w:trHeight w:val="290"/>
        </w:trPr>
        <w:tc>
          <w:tcPr>
            <w:tcW w:w="993" w:type="dxa"/>
            <w:shd w:val="clear" w:color="auto" w:fill="auto"/>
            <w:noWrap/>
            <w:vAlign w:val="bottom"/>
            <w:hideMark/>
          </w:tcPr>
          <w:p w14:paraId="6DD82E08" w14:textId="77777777" w:rsidR="00856403" w:rsidRPr="00050CA0" w:rsidRDefault="00856403" w:rsidP="00B7095D">
            <w:pPr>
              <w:spacing w:line="240" w:lineRule="auto"/>
              <w:rPr>
                <w:lang w:eastAsia="en-GB"/>
              </w:rPr>
            </w:pPr>
            <w:r w:rsidRPr="00050CA0">
              <w:rPr>
                <w:lang w:eastAsia="en-GB"/>
              </w:rPr>
              <w:t>2016</w:t>
            </w:r>
          </w:p>
        </w:tc>
        <w:tc>
          <w:tcPr>
            <w:tcW w:w="1214" w:type="dxa"/>
            <w:shd w:val="clear" w:color="auto" w:fill="auto"/>
            <w:noWrap/>
            <w:vAlign w:val="bottom"/>
            <w:hideMark/>
          </w:tcPr>
          <w:p w14:paraId="196AE930" w14:textId="77777777" w:rsidR="00856403" w:rsidRPr="00050CA0" w:rsidRDefault="00856403" w:rsidP="00B7095D">
            <w:pPr>
              <w:spacing w:line="240" w:lineRule="auto"/>
              <w:rPr>
                <w:lang w:eastAsia="en-GB"/>
              </w:rPr>
            </w:pPr>
            <w:r w:rsidRPr="00050CA0">
              <w:rPr>
                <w:lang w:eastAsia="en-GB"/>
              </w:rPr>
              <w:t>772</w:t>
            </w:r>
          </w:p>
        </w:tc>
        <w:tc>
          <w:tcPr>
            <w:tcW w:w="1134" w:type="dxa"/>
            <w:shd w:val="clear" w:color="auto" w:fill="auto"/>
            <w:noWrap/>
            <w:vAlign w:val="bottom"/>
            <w:hideMark/>
          </w:tcPr>
          <w:p w14:paraId="358088B7" w14:textId="77777777" w:rsidR="00856403" w:rsidRPr="00050CA0" w:rsidRDefault="00856403" w:rsidP="00B7095D">
            <w:pPr>
              <w:spacing w:line="240" w:lineRule="auto"/>
              <w:rPr>
                <w:lang w:eastAsia="en-GB"/>
              </w:rPr>
            </w:pPr>
            <w:r w:rsidRPr="00050CA0">
              <w:rPr>
                <w:lang w:eastAsia="en-GB"/>
              </w:rPr>
              <w:t>68.4%</w:t>
            </w:r>
          </w:p>
        </w:tc>
        <w:tc>
          <w:tcPr>
            <w:tcW w:w="1417" w:type="dxa"/>
            <w:shd w:val="clear" w:color="auto" w:fill="auto"/>
            <w:noWrap/>
            <w:vAlign w:val="bottom"/>
            <w:hideMark/>
          </w:tcPr>
          <w:p w14:paraId="1F09A9C0" w14:textId="77777777" w:rsidR="00856403" w:rsidRPr="00050CA0" w:rsidRDefault="00856403" w:rsidP="00B7095D">
            <w:pPr>
              <w:spacing w:line="240" w:lineRule="auto"/>
              <w:rPr>
                <w:lang w:eastAsia="en-GB"/>
              </w:rPr>
            </w:pPr>
            <w:r w:rsidRPr="00050CA0">
              <w:rPr>
                <w:lang w:eastAsia="en-GB"/>
              </w:rPr>
              <w:t>31.6%</w:t>
            </w:r>
          </w:p>
        </w:tc>
      </w:tr>
      <w:tr w:rsidR="00856403" w:rsidRPr="00050CA0" w14:paraId="260FE4E9" w14:textId="77777777" w:rsidTr="00B7095D">
        <w:trPr>
          <w:trHeight w:val="290"/>
        </w:trPr>
        <w:tc>
          <w:tcPr>
            <w:tcW w:w="993" w:type="dxa"/>
            <w:shd w:val="clear" w:color="auto" w:fill="auto"/>
            <w:noWrap/>
            <w:vAlign w:val="bottom"/>
            <w:hideMark/>
          </w:tcPr>
          <w:p w14:paraId="3C87B9ED" w14:textId="77777777" w:rsidR="00856403" w:rsidRPr="00050CA0" w:rsidRDefault="00856403" w:rsidP="00B7095D">
            <w:pPr>
              <w:spacing w:line="240" w:lineRule="auto"/>
              <w:rPr>
                <w:lang w:eastAsia="en-GB"/>
              </w:rPr>
            </w:pPr>
            <w:r w:rsidRPr="00050CA0">
              <w:rPr>
                <w:lang w:eastAsia="en-GB"/>
              </w:rPr>
              <w:t>2017</w:t>
            </w:r>
          </w:p>
        </w:tc>
        <w:tc>
          <w:tcPr>
            <w:tcW w:w="1214" w:type="dxa"/>
            <w:shd w:val="clear" w:color="auto" w:fill="auto"/>
            <w:noWrap/>
            <w:vAlign w:val="bottom"/>
            <w:hideMark/>
          </w:tcPr>
          <w:p w14:paraId="3DF496D5" w14:textId="77777777" w:rsidR="00856403" w:rsidRPr="00050CA0" w:rsidRDefault="00856403" w:rsidP="00B7095D">
            <w:pPr>
              <w:spacing w:line="240" w:lineRule="auto"/>
              <w:rPr>
                <w:lang w:eastAsia="en-GB"/>
              </w:rPr>
            </w:pPr>
            <w:r w:rsidRPr="00050CA0">
              <w:rPr>
                <w:lang w:eastAsia="en-GB"/>
              </w:rPr>
              <w:t>814</w:t>
            </w:r>
          </w:p>
        </w:tc>
        <w:tc>
          <w:tcPr>
            <w:tcW w:w="1134" w:type="dxa"/>
            <w:shd w:val="clear" w:color="auto" w:fill="auto"/>
            <w:noWrap/>
            <w:vAlign w:val="bottom"/>
            <w:hideMark/>
          </w:tcPr>
          <w:p w14:paraId="6B4B4C22" w14:textId="77777777" w:rsidR="00856403" w:rsidRPr="00050CA0" w:rsidRDefault="00856403" w:rsidP="00B7095D">
            <w:pPr>
              <w:spacing w:line="240" w:lineRule="auto"/>
              <w:rPr>
                <w:lang w:eastAsia="en-GB"/>
              </w:rPr>
            </w:pPr>
            <w:r w:rsidRPr="00050CA0">
              <w:rPr>
                <w:lang w:eastAsia="en-GB"/>
              </w:rPr>
              <w:t>68.1%</w:t>
            </w:r>
          </w:p>
        </w:tc>
        <w:tc>
          <w:tcPr>
            <w:tcW w:w="1417" w:type="dxa"/>
            <w:shd w:val="clear" w:color="auto" w:fill="auto"/>
            <w:noWrap/>
            <w:vAlign w:val="bottom"/>
            <w:hideMark/>
          </w:tcPr>
          <w:p w14:paraId="42B49DA0" w14:textId="77777777" w:rsidR="00856403" w:rsidRPr="00050CA0" w:rsidRDefault="00856403" w:rsidP="00B7095D">
            <w:pPr>
              <w:spacing w:line="240" w:lineRule="auto"/>
              <w:rPr>
                <w:lang w:eastAsia="en-GB"/>
              </w:rPr>
            </w:pPr>
            <w:r w:rsidRPr="00050CA0">
              <w:rPr>
                <w:lang w:eastAsia="en-GB"/>
              </w:rPr>
              <w:t>31.9%</w:t>
            </w:r>
          </w:p>
        </w:tc>
      </w:tr>
      <w:tr w:rsidR="00856403" w:rsidRPr="00050CA0" w14:paraId="218A9DC2" w14:textId="77777777" w:rsidTr="00B7095D">
        <w:trPr>
          <w:trHeight w:val="290"/>
        </w:trPr>
        <w:tc>
          <w:tcPr>
            <w:tcW w:w="993" w:type="dxa"/>
            <w:shd w:val="clear" w:color="auto" w:fill="auto"/>
            <w:noWrap/>
            <w:vAlign w:val="bottom"/>
            <w:hideMark/>
          </w:tcPr>
          <w:p w14:paraId="4ACD73B2" w14:textId="77777777" w:rsidR="00856403" w:rsidRPr="00050CA0" w:rsidRDefault="00856403" w:rsidP="00B7095D">
            <w:pPr>
              <w:spacing w:line="240" w:lineRule="auto"/>
              <w:rPr>
                <w:lang w:eastAsia="en-GB"/>
              </w:rPr>
            </w:pPr>
            <w:r w:rsidRPr="00050CA0">
              <w:rPr>
                <w:lang w:eastAsia="en-GB"/>
              </w:rPr>
              <w:t>2018</w:t>
            </w:r>
          </w:p>
        </w:tc>
        <w:tc>
          <w:tcPr>
            <w:tcW w:w="1214" w:type="dxa"/>
            <w:shd w:val="clear" w:color="auto" w:fill="auto"/>
            <w:noWrap/>
            <w:vAlign w:val="bottom"/>
            <w:hideMark/>
          </w:tcPr>
          <w:p w14:paraId="46DC3E38" w14:textId="77777777" w:rsidR="00856403" w:rsidRPr="00050CA0" w:rsidRDefault="00856403" w:rsidP="00B7095D">
            <w:pPr>
              <w:spacing w:line="240" w:lineRule="auto"/>
              <w:rPr>
                <w:lang w:eastAsia="en-GB"/>
              </w:rPr>
            </w:pPr>
            <w:r w:rsidRPr="00050CA0">
              <w:rPr>
                <w:lang w:eastAsia="en-GB"/>
              </w:rPr>
              <w:t>712</w:t>
            </w:r>
          </w:p>
        </w:tc>
        <w:tc>
          <w:tcPr>
            <w:tcW w:w="1134" w:type="dxa"/>
            <w:shd w:val="clear" w:color="auto" w:fill="auto"/>
            <w:noWrap/>
            <w:vAlign w:val="bottom"/>
            <w:hideMark/>
          </w:tcPr>
          <w:p w14:paraId="0A4BB9EC" w14:textId="77777777" w:rsidR="00856403" w:rsidRPr="00050CA0" w:rsidRDefault="00856403" w:rsidP="00B7095D">
            <w:pPr>
              <w:spacing w:line="240" w:lineRule="auto"/>
              <w:rPr>
                <w:lang w:eastAsia="en-GB"/>
              </w:rPr>
            </w:pPr>
            <w:r w:rsidRPr="00050CA0">
              <w:rPr>
                <w:lang w:eastAsia="en-GB"/>
              </w:rPr>
              <w:t>62.4%</w:t>
            </w:r>
          </w:p>
        </w:tc>
        <w:tc>
          <w:tcPr>
            <w:tcW w:w="1417" w:type="dxa"/>
            <w:shd w:val="clear" w:color="auto" w:fill="auto"/>
            <w:noWrap/>
            <w:vAlign w:val="bottom"/>
            <w:hideMark/>
          </w:tcPr>
          <w:p w14:paraId="16284277" w14:textId="77777777" w:rsidR="00856403" w:rsidRPr="00050CA0" w:rsidRDefault="00856403" w:rsidP="00B7095D">
            <w:pPr>
              <w:spacing w:line="240" w:lineRule="auto"/>
              <w:rPr>
                <w:lang w:eastAsia="en-GB"/>
              </w:rPr>
            </w:pPr>
            <w:r w:rsidRPr="00050CA0">
              <w:rPr>
                <w:lang w:eastAsia="en-GB"/>
              </w:rPr>
              <w:t>37.6%</w:t>
            </w:r>
          </w:p>
        </w:tc>
      </w:tr>
      <w:tr w:rsidR="00856403" w:rsidRPr="00050CA0" w14:paraId="06D11BAC" w14:textId="77777777" w:rsidTr="00B7095D">
        <w:trPr>
          <w:trHeight w:val="290"/>
        </w:trPr>
        <w:tc>
          <w:tcPr>
            <w:tcW w:w="993" w:type="dxa"/>
            <w:shd w:val="clear" w:color="auto" w:fill="auto"/>
            <w:noWrap/>
            <w:vAlign w:val="bottom"/>
            <w:hideMark/>
          </w:tcPr>
          <w:p w14:paraId="5DD2DCBD" w14:textId="77777777" w:rsidR="00856403" w:rsidRPr="00050CA0" w:rsidRDefault="00856403" w:rsidP="00B7095D">
            <w:pPr>
              <w:spacing w:line="240" w:lineRule="auto"/>
              <w:rPr>
                <w:lang w:eastAsia="en-GB"/>
              </w:rPr>
            </w:pPr>
            <w:r w:rsidRPr="00050CA0">
              <w:rPr>
                <w:lang w:eastAsia="en-GB"/>
              </w:rPr>
              <w:t>2019</w:t>
            </w:r>
          </w:p>
        </w:tc>
        <w:tc>
          <w:tcPr>
            <w:tcW w:w="1214" w:type="dxa"/>
            <w:shd w:val="clear" w:color="auto" w:fill="auto"/>
            <w:noWrap/>
            <w:vAlign w:val="bottom"/>
            <w:hideMark/>
          </w:tcPr>
          <w:p w14:paraId="7D6B2083" w14:textId="77777777" w:rsidR="00856403" w:rsidRPr="00050CA0" w:rsidRDefault="00856403" w:rsidP="00B7095D">
            <w:pPr>
              <w:spacing w:line="240" w:lineRule="auto"/>
              <w:rPr>
                <w:lang w:eastAsia="en-GB"/>
              </w:rPr>
            </w:pPr>
            <w:r w:rsidRPr="00050CA0">
              <w:rPr>
                <w:lang w:eastAsia="en-GB"/>
              </w:rPr>
              <w:t>960</w:t>
            </w:r>
          </w:p>
        </w:tc>
        <w:tc>
          <w:tcPr>
            <w:tcW w:w="1134" w:type="dxa"/>
            <w:shd w:val="clear" w:color="auto" w:fill="auto"/>
            <w:noWrap/>
            <w:vAlign w:val="bottom"/>
            <w:hideMark/>
          </w:tcPr>
          <w:p w14:paraId="11CB4A56" w14:textId="77777777" w:rsidR="00856403" w:rsidRPr="00050CA0" w:rsidRDefault="00856403" w:rsidP="00B7095D">
            <w:pPr>
              <w:spacing w:line="240" w:lineRule="auto"/>
              <w:rPr>
                <w:lang w:eastAsia="en-GB"/>
              </w:rPr>
            </w:pPr>
            <w:r w:rsidRPr="00050CA0">
              <w:rPr>
                <w:lang w:eastAsia="en-GB"/>
              </w:rPr>
              <w:t>59.7%</w:t>
            </w:r>
          </w:p>
        </w:tc>
        <w:tc>
          <w:tcPr>
            <w:tcW w:w="1417" w:type="dxa"/>
            <w:shd w:val="clear" w:color="auto" w:fill="auto"/>
            <w:noWrap/>
            <w:vAlign w:val="bottom"/>
            <w:hideMark/>
          </w:tcPr>
          <w:p w14:paraId="3EEF8BC0" w14:textId="77777777" w:rsidR="00856403" w:rsidRPr="00050CA0" w:rsidRDefault="00856403" w:rsidP="00B7095D">
            <w:pPr>
              <w:spacing w:line="240" w:lineRule="auto"/>
              <w:rPr>
                <w:lang w:eastAsia="en-GB"/>
              </w:rPr>
            </w:pPr>
            <w:r w:rsidRPr="00050CA0">
              <w:rPr>
                <w:lang w:eastAsia="en-GB"/>
              </w:rPr>
              <w:t>40.3%</w:t>
            </w:r>
          </w:p>
        </w:tc>
      </w:tr>
      <w:tr w:rsidR="00856403" w:rsidRPr="00050CA0" w14:paraId="5979F972" w14:textId="77777777" w:rsidTr="00B7095D">
        <w:trPr>
          <w:trHeight w:val="290"/>
        </w:trPr>
        <w:tc>
          <w:tcPr>
            <w:tcW w:w="993" w:type="dxa"/>
            <w:shd w:val="clear" w:color="auto" w:fill="auto"/>
            <w:noWrap/>
            <w:vAlign w:val="bottom"/>
            <w:hideMark/>
          </w:tcPr>
          <w:p w14:paraId="1F1F3D93" w14:textId="77777777" w:rsidR="00856403" w:rsidRPr="00050CA0" w:rsidRDefault="00856403" w:rsidP="00B7095D">
            <w:pPr>
              <w:spacing w:line="240" w:lineRule="auto"/>
              <w:rPr>
                <w:lang w:eastAsia="en-GB"/>
              </w:rPr>
            </w:pPr>
            <w:r w:rsidRPr="00050CA0">
              <w:rPr>
                <w:lang w:eastAsia="en-GB"/>
              </w:rPr>
              <w:t>2020</w:t>
            </w:r>
          </w:p>
        </w:tc>
        <w:tc>
          <w:tcPr>
            <w:tcW w:w="1214" w:type="dxa"/>
            <w:shd w:val="clear" w:color="auto" w:fill="auto"/>
            <w:noWrap/>
            <w:vAlign w:val="bottom"/>
            <w:hideMark/>
          </w:tcPr>
          <w:p w14:paraId="0C89EAB3" w14:textId="77777777" w:rsidR="00856403" w:rsidRPr="00050CA0" w:rsidRDefault="00856403" w:rsidP="00B7095D">
            <w:pPr>
              <w:spacing w:line="240" w:lineRule="auto"/>
              <w:rPr>
                <w:lang w:eastAsia="en-GB"/>
              </w:rPr>
            </w:pPr>
            <w:r w:rsidRPr="00050CA0">
              <w:rPr>
                <w:lang w:eastAsia="en-GB"/>
              </w:rPr>
              <w:t>613</w:t>
            </w:r>
          </w:p>
        </w:tc>
        <w:tc>
          <w:tcPr>
            <w:tcW w:w="1134" w:type="dxa"/>
            <w:shd w:val="clear" w:color="auto" w:fill="auto"/>
            <w:noWrap/>
            <w:vAlign w:val="bottom"/>
            <w:hideMark/>
          </w:tcPr>
          <w:p w14:paraId="21FD94A5" w14:textId="77777777" w:rsidR="00856403" w:rsidRPr="00050CA0" w:rsidRDefault="00856403" w:rsidP="00B7095D">
            <w:pPr>
              <w:spacing w:line="240" w:lineRule="auto"/>
              <w:rPr>
                <w:lang w:eastAsia="en-GB"/>
              </w:rPr>
            </w:pPr>
            <w:r w:rsidRPr="00050CA0">
              <w:rPr>
                <w:lang w:eastAsia="en-GB"/>
              </w:rPr>
              <w:t>58.4%</w:t>
            </w:r>
          </w:p>
        </w:tc>
        <w:tc>
          <w:tcPr>
            <w:tcW w:w="1417" w:type="dxa"/>
            <w:shd w:val="clear" w:color="auto" w:fill="auto"/>
            <w:noWrap/>
            <w:vAlign w:val="bottom"/>
            <w:hideMark/>
          </w:tcPr>
          <w:p w14:paraId="183C3996" w14:textId="77777777" w:rsidR="00856403" w:rsidRPr="00050CA0" w:rsidRDefault="00856403" w:rsidP="00B7095D">
            <w:pPr>
              <w:spacing w:line="240" w:lineRule="auto"/>
              <w:rPr>
                <w:lang w:eastAsia="en-GB"/>
              </w:rPr>
            </w:pPr>
            <w:r w:rsidRPr="00050CA0">
              <w:rPr>
                <w:lang w:eastAsia="en-GB"/>
              </w:rPr>
              <w:t>41.6%</w:t>
            </w:r>
          </w:p>
        </w:tc>
      </w:tr>
      <w:tr w:rsidR="00856403" w:rsidRPr="00050CA0" w14:paraId="4A479C88" w14:textId="77777777" w:rsidTr="00B7095D">
        <w:trPr>
          <w:trHeight w:val="290"/>
        </w:trPr>
        <w:tc>
          <w:tcPr>
            <w:tcW w:w="993" w:type="dxa"/>
            <w:shd w:val="clear" w:color="auto" w:fill="auto"/>
            <w:noWrap/>
            <w:vAlign w:val="bottom"/>
            <w:hideMark/>
          </w:tcPr>
          <w:p w14:paraId="37636EF8" w14:textId="77777777" w:rsidR="00856403" w:rsidRPr="00050CA0" w:rsidRDefault="00856403" w:rsidP="00B7095D">
            <w:pPr>
              <w:spacing w:line="240" w:lineRule="auto"/>
              <w:rPr>
                <w:lang w:eastAsia="en-GB"/>
              </w:rPr>
            </w:pPr>
            <w:r w:rsidRPr="00050CA0">
              <w:rPr>
                <w:lang w:eastAsia="en-GB"/>
              </w:rPr>
              <w:t>2021</w:t>
            </w:r>
          </w:p>
        </w:tc>
        <w:tc>
          <w:tcPr>
            <w:tcW w:w="1214" w:type="dxa"/>
            <w:shd w:val="clear" w:color="auto" w:fill="auto"/>
            <w:noWrap/>
            <w:vAlign w:val="bottom"/>
            <w:hideMark/>
          </w:tcPr>
          <w:p w14:paraId="7CA4F0CA" w14:textId="77777777" w:rsidR="00856403" w:rsidRPr="00050CA0" w:rsidRDefault="00856403" w:rsidP="00B7095D">
            <w:pPr>
              <w:spacing w:line="240" w:lineRule="auto"/>
              <w:rPr>
                <w:lang w:eastAsia="en-GB"/>
              </w:rPr>
            </w:pPr>
            <w:r w:rsidRPr="00050CA0">
              <w:rPr>
                <w:lang w:eastAsia="en-GB"/>
              </w:rPr>
              <w:t>624</w:t>
            </w:r>
          </w:p>
        </w:tc>
        <w:tc>
          <w:tcPr>
            <w:tcW w:w="1134" w:type="dxa"/>
            <w:shd w:val="clear" w:color="auto" w:fill="auto"/>
            <w:noWrap/>
            <w:vAlign w:val="bottom"/>
            <w:hideMark/>
          </w:tcPr>
          <w:p w14:paraId="5EB66746" w14:textId="77777777" w:rsidR="00856403" w:rsidRPr="00050CA0" w:rsidRDefault="00856403" w:rsidP="00B7095D">
            <w:pPr>
              <w:spacing w:line="240" w:lineRule="auto"/>
              <w:rPr>
                <w:lang w:eastAsia="en-GB"/>
              </w:rPr>
            </w:pPr>
            <w:r w:rsidRPr="00050CA0">
              <w:rPr>
                <w:lang w:eastAsia="en-GB"/>
              </w:rPr>
              <w:t>54.0%</w:t>
            </w:r>
          </w:p>
        </w:tc>
        <w:tc>
          <w:tcPr>
            <w:tcW w:w="1417" w:type="dxa"/>
            <w:shd w:val="clear" w:color="auto" w:fill="auto"/>
            <w:noWrap/>
            <w:vAlign w:val="bottom"/>
            <w:hideMark/>
          </w:tcPr>
          <w:p w14:paraId="16A4C5DE" w14:textId="77777777" w:rsidR="00856403" w:rsidRPr="00050CA0" w:rsidRDefault="00856403" w:rsidP="00B7095D">
            <w:pPr>
              <w:spacing w:line="240" w:lineRule="auto"/>
              <w:rPr>
                <w:lang w:eastAsia="en-GB"/>
              </w:rPr>
            </w:pPr>
            <w:r w:rsidRPr="00050CA0">
              <w:rPr>
                <w:lang w:eastAsia="en-GB"/>
              </w:rPr>
              <w:t>46.0%</w:t>
            </w:r>
          </w:p>
        </w:tc>
      </w:tr>
      <w:tr w:rsidR="00856403" w:rsidRPr="00050CA0" w14:paraId="3D81F845" w14:textId="77777777" w:rsidTr="00B7095D">
        <w:trPr>
          <w:trHeight w:val="290"/>
        </w:trPr>
        <w:tc>
          <w:tcPr>
            <w:tcW w:w="993" w:type="dxa"/>
            <w:shd w:val="clear" w:color="auto" w:fill="auto"/>
            <w:noWrap/>
            <w:vAlign w:val="bottom"/>
            <w:hideMark/>
          </w:tcPr>
          <w:p w14:paraId="384CE0CD" w14:textId="77777777" w:rsidR="00856403" w:rsidRPr="00050CA0" w:rsidRDefault="00856403" w:rsidP="00B7095D">
            <w:pPr>
              <w:spacing w:line="240" w:lineRule="auto"/>
              <w:rPr>
                <w:lang w:eastAsia="en-GB"/>
              </w:rPr>
            </w:pPr>
            <w:r w:rsidRPr="00050CA0">
              <w:rPr>
                <w:lang w:eastAsia="en-GB"/>
              </w:rPr>
              <w:t>2022</w:t>
            </w:r>
          </w:p>
        </w:tc>
        <w:tc>
          <w:tcPr>
            <w:tcW w:w="1214" w:type="dxa"/>
            <w:shd w:val="clear" w:color="auto" w:fill="auto"/>
            <w:noWrap/>
            <w:vAlign w:val="bottom"/>
            <w:hideMark/>
          </w:tcPr>
          <w:p w14:paraId="7858F8AD" w14:textId="77777777" w:rsidR="00856403" w:rsidRPr="00050CA0" w:rsidRDefault="00856403" w:rsidP="00B7095D">
            <w:pPr>
              <w:spacing w:line="240" w:lineRule="auto"/>
              <w:rPr>
                <w:lang w:eastAsia="en-GB"/>
              </w:rPr>
            </w:pPr>
            <w:r w:rsidRPr="00050CA0">
              <w:rPr>
                <w:lang w:eastAsia="en-GB"/>
              </w:rPr>
              <w:t>911</w:t>
            </w:r>
          </w:p>
        </w:tc>
        <w:tc>
          <w:tcPr>
            <w:tcW w:w="1134" w:type="dxa"/>
            <w:shd w:val="clear" w:color="auto" w:fill="auto"/>
            <w:noWrap/>
            <w:vAlign w:val="bottom"/>
            <w:hideMark/>
          </w:tcPr>
          <w:p w14:paraId="08490DBF" w14:textId="77777777" w:rsidR="00856403" w:rsidRPr="00050CA0" w:rsidRDefault="00856403" w:rsidP="00B7095D">
            <w:pPr>
              <w:spacing w:line="240" w:lineRule="auto"/>
              <w:rPr>
                <w:lang w:eastAsia="en-GB"/>
              </w:rPr>
            </w:pPr>
            <w:r w:rsidRPr="00050CA0">
              <w:rPr>
                <w:lang w:eastAsia="en-GB"/>
              </w:rPr>
              <w:t>61.3%</w:t>
            </w:r>
          </w:p>
        </w:tc>
        <w:tc>
          <w:tcPr>
            <w:tcW w:w="1417" w:type="dxa"/>
            <w:shd w:val="clear" w:color="auto" w:fill="auto"/>
            <w:noWrap/>
            <w:vAlign w:val="bottom"/>
            <w:hideMark/>
          </w:tcPr>
          <w:p w14:paraId="75A10677" w14:textId="77777777" w:rsidR="00856403" w:rsidRPr="00050CA0" w:rsidRDefault="00856403" w:rsidP="00B7095D">
            <w:pPr>
              <w:spacing w:line="240" w:lineRule="auto"/>
              <w:rPr>
                <w:lang w:eastAsia="en-GB"/>
              </w:rPr>
            </w:pPr>
            <w:r w:rsidRPr="00050CA0">
              <w:rPr>
                <w:lang w:eastAsia="en-GB"/>
              </w:rPr>
              <w:t>38.7%</w:t>
            </w:r>
          </w:p>
        </w:tc>
      </w:tr>
      <w:tr w:rsidR="00856403" w:rsidRPr="00050CA0" w14:paraId="376D6472" w14:textId="77777777" w:rsidTr="00B7095D">
        <w:trPr>
          <w:trHeight w:val="290"/>
        </w:trPr>
        <w:tc>
          <w:tcPr>
            <w:tcW w:w="993" w:type="dxa"/>
            <w:shd w:val="clear" w:color="auto" w:fill="auto"/>
            <w:noWrap/>
            <w:vAlign w:val="bottom"/>
            <w:hideMark/>
          </w:tcPr>
          <w:p w14:paraId="3E1E3E6A" w14:textId="77777777" w:rsidR="00856403" w:rsidRPr="00050CA0" w:rsidRDefault="00856403" w:rsidP="00B7095D">
            <w:pPr>
              <w:spacing w:line="240" w:lineRule="auto"/>
              <w:rPr>
                <w:lang w:eastAsia="en-GB"/>
              </w:rPr>
            </w:pPr>
            <w:r w:rsidRPr="00050CA0">
              <w:rPr>
                <w:lang w:eastAsia="en-GB"/>
              </w:rPr>
              <w:t>2023</w:t>
            </w:r>
          </w:p>
        </w:tc>
        <w:tc>
          <w:tcPr>
            <w:tcW w:w="1214" w:type="dxa"/>
            <w:shd w:val="clear" w:color="auto" w:fill="auto"/>
            <w:noWrap/>
            <w:vAlign w:val="bottom"/>
            <w:hideMark/>
          </w:tcPr>
          <w:p w14:paraId="294D500F" w14:textId="77777777" w:rsidR="00856403" w:rsidRPr="00050CA0" w:rsidRDefault="00856403" w:rsidP="00B7095D">
            <w:pPr>
              <w:spacing w:line="240" w:lineRule="auto"/>
              <w:rPr>
                <w:lang w:eastAsia="en-GB"/>
              </w:rPr>
            </w:pPr>
            <w:r w:rsidRPr="00050CA0">
              <w:rPr>
                <w:lang w:eastAsia="en-GB"/>
              </w:rPr>
              <w:t>584</w:t>
            </w:r>
          </w:p>
        </w:tc>
        <w:tc>
          <w:tcPr>
            <w:tcW w:w="1134" w:type="dxa"/>
            <w:shd w:val="clear" w:color="auto" w:fill="auto"/>
            <w:noWrap/>
            <w:vAlign w:val="bottom"/>
            <w:hideMark/>
          </w:tcPr>
          <w:p w14:paraId="16052A57" w14:textId="77777777" w:rsidR="00856403" w:rsidRPr="00050CA0" w:rsidRDefault="00856403" w:rsidP="00B7095D">
            <w:pPr>
              <w:spacing w:line="240" w:lineRule="auto"/>
              <w:rPr>
                <w:lang w:eastAsia="en-GB"/>
              </w:rPr>
            </w:pPr>
            <w:r w:rsidRPr="00050CA0">
              <w:rPr>
                <w:lang w:eastAsia="en-GB"/>
              </w:rPr>
              <w:t>70.2%</w:t>
            </w:r>
          </w:p>
        </w:tc>
        <w:tc>
          <w:tcPr>
            <w:tcW w:w="1417" w:type="dxa"/>
            <w:shd w:val="clear" w:color="auto" w:fill="auto"/>
            <w:noWrap/>
            <w:vAlign w:val="bottom"/>
            <w:hideMark/>
          </w:tcPr>
          <w:p w14:paraId="5F360BBE" w14:textId="77777777" w:rsidR="00856403" w:rsidRPr="00050CA0" w:rsidRDefault="00856403" w:rsidP="00B7095D">
            <w:pPr>
              <w:spacing w:line="240" w:lineRule="auto"/>
              <w:rPr>
                <w:lang w:eastAsia="en-GB"/>
              </w:rPr>
            </w:pPr>
            <w:r w:rsidRPr="00050CA0">
              <w:rPr>
                <w:lang w:eastAsia="en-GB"/>
              </w:rPr>
              <w:t>29.8%</w:t>
            </w:r>
          </w:p>
        </w:tc>
      </w:tr>
      <w:tr w:rsidR="00856403" w:rsidRPr="00050CA0" w14:paraId="483C454A" w14:textId="77777777" w:rsidTr="00B7095D">
        <w:trPr>
          <w:trHeight w:val="290"/>
        </w:trPr>
        <w:tc>
          <w:tcPr>
            <w:tcW w:w="993" w:type="dxa"/>
            <w:shd w:val="clear" w:color="auto" w:fill="auto"/>
            <w:noWrap/>
            <w:vAlign w:val="bottom"/>
            <w:hideMark/>
          </w:tcPr>
          <w:p w14:paraId="7AB33CE2" w14:textId="77777777" w:rsidR="00856403" w:rsidRPr="00050CA0" w:rsidRDefault="00856403" w:rsidP="00B7095D">
            <w:pPr>
              <w:spacing w:line="240" w:lineRule="auto"/>
              <w:rPr>
                <w:lang w:eastAsia="en-GB"/>
              </w:rPr>
            </w:pPr>
            <w:r w:rsidRPr="00050CA0">
              <w:rPr>
                <w:lang w:eastAsia="en-GB"/>
              </w:rPr>
              <w:t>2024</w:t>
            </w:r>
          </w:p>
        </w:tc>
        <w:tc>
          <w:tcPr>
            <w:tcW w:w="1214" w:type="dxa"/>
            <w:shd w:val="clear" w:color="auto" w:fill="auto"/>
            <w:noWrap/>
            <w:vAlign w:val="bottom"/>
            <w:hideMark/>
          </w:tcPr>
          <w:p w14:paraId="49339147" w14:textId="77777777" w:rsidR="00856403" w:rsidRPr="00050CA0" w:rsidRDefault="00856403" w:rsidP="00B7095D">
            <w:pPr>
              <w:spacing w:line="240" w:lineRule="auto"/>
              <w:rPr>
                <w:lang w:eastAsia="en-GB"/>
              </w:rPr>
            </w:pPr>
            <w:r w:rsidRPr="00050CA0">
              <w:rPr>
                <w:lang w:eastAsia="en-GB"/>
              </w:rPr>
              <w:t>581</w:t>
            </w:r>
          </w:p>
        </w:tc>
        <w:tc>
          <w:tcPr>
            <w:tcW w:w="1134" w:type="dxa"/>
            <w:shd w:val="clear" w:color="auto" w:fill="auto"/>
            <w:noWrap/>
            <w:vAlign w:val="bottom"/>
            <w:hideMark/>
          </w:tcPr>
          <w:p w14:paraId="5A592F47" w14:textId="77777777" w:rsidR="00856403" w:rsidRPr="00050CA0" w:rsidRDefault="00856403" w:rsidP="00B7095D">
            <w:pPr>
              <w:spacing w:line="240" w:lineRule="auto"/>
              <w:rPr>
                <w:lang w:eastAsia="en-GB"/>
              </w:rPr>
            </w:pPr>
            <w:r w:rsidRPr="00050CA0">
              <w:rPr>
                <w:lang w:eastAsia="en-GB"/>
              </w:rPr>
              <w:t>68.7%</w:t>
            </w:r>
          </w:p>
        </w:tc>
        <w:tc>
          <w:tcPr>
            <w:tcW w:w="1417" w:type="dxa"/>
            <w:shd w:val="clear" w:color="auto" w:fill="auto"/>
            <w:noWrap/>
            <w:vAlign w:val="bottom"/>
            <w:hideMark/>
          </w:tcPr>
          <w:p w14:paraId="2A779282" w14:textId="77777777" w:rsidR="00856403" w:rsidRPr="00050CA0" w:rsidRDefault="00856403" w:rsidP="00B7095D">
            <w:pPr>
              <w:spacing w:line="240" w:lineRule="auto"/>
              <w:rPr>
                <w:lang w:eastAsia="en-GB"/>
              </w:rPr>
            </w:pPr>
            <w:r w:rsidRPr="00050CA0">
              <w:rPr>
                <w:lang w:eastAsia="en-GB"/>
              </w:rPr>
              <w:t>31.3%</w:t>
            </w:r>
          </w:p>
        </w:tc>
      </w:tr>
    </w:tbl>
    <w:p w14:paraId="5974E55E" w14:textId="77777777" w:rsidR="00856403" w:rsidRDefault="00856403" w:rsidP="00856403">
      <w:pPr>
        <w:tabs>
          <w:tab w:val="left" w:pos="5400"/>
        </w:tabs>
        <w:rPr>
          <w:rFonts w:eastAsiaTheme="majorEastAsia" w:cstheme="majorBidi"/>
          <w:b/>
          <w:color w:val="000000" w:themeColor="text1"/>
          <w:szCs w:val="26"/>
        </w:rPr>
      </w:pPr>
      <w:r w:rsidRPr="00856403">
        <w:rPr>
          <w:rFonts w:eastAsiaTheme="majorEastAsia" w:cstheme="majorBidi"/>
          <w:b/>
          <w:color w:val="000000" w:themeColor="text1"/>
          <w:szCs w:val="26"/>
        </w:rPr>
        <w:lastRenderedPageBreak/>
        <w:t>In addition, if this information is available, I would also like to request the same information for the number and percentage of male and female applicants for each year since 2013.</w:t>
      </w:r>
    </w:p>
    <w:p w14:paraId="3886DF47" w14:textId="77777777" w:rsidR="00B7095D" w:rsidRDefault="00B7095D" w:rsidP="00B7095D">
      <w:pPr>
        <w:tabs>
          <w:tab w:val="left" w:pos="5400"/>
        </w:tabs>
      </w:pPr>
      <w:r>
        <w:t>Data for the period</w:t>
      </w:r>
      <w:r w:rsidR="00856403">
        <w:t xml:space="preserve"> prior to 2022</w:t>
      </w:r>
      <w:r w:rsidR="009A1002">
        <w:rPr>
          <w:rFonts w:eastAsiaTheme="majorEastAsia" w:cstheme="majorBidi"/>
          <w:bCs/>
          <w:color w:val="000000" w:themeColor="text1"/>
          <w:szCs w:val="26"/>
        </w:rPr>
        <w:t xml:space="preserve"> is not held by </w:t>
      </w:r>
      <w:r w:rsidR="009A1002" w:rsidRPr="00646E3D">
        <w:rPr>
          <w:rFonts w:eastAsiaTheme="majorEastAsia" w:cstheme="majorBidi"/>
          <w:bCs/>
          <w:color w:val="000000" w:themeColor="text1"/>
          <w:szCs w:val="26"/>
        </w:rPr>
        <w:t xml:space="preserve">Police Scotland </w:t>
      </w:r>
      <w:r w:rsidR="009A1002">
        <w:rPr>
          <w:rFonts w:eastAsiaTheme="majorEastAsia" w:cstheme="majorBidi"/>
          <w:bCs/>
          <w:color w:val="000000" w:themeColor="text1"/>
          <w:szCs w:val="26"/>
        </w:rPr>
        <w:t xml:space="preserve">and section 17 of the Act therefore applies. </w:t>
      </w:r>
      <w:r>
        <w:rPr>
          <w:rFonts w:eastAsiaTheme="majorEastAsia" w:cstheme="majorBidi"/>
          <w:bCs/>
          <w:color w:val="000000" w:themeColor="text1"/>
          <w:szCs w:val="26"/>
        </w:rPr>
        <w:t>T</w:t>
      </w:r>
      <w:r w:rsidR="009A1002">
        <w:t>his is</w:t>
      </w:r>
      <w:r w:rsidR="00856403">
        <w:t xml:space="preserve"> </w:t>
      </w:r>
      <w:r w:rsidR="009A1002">
        <w:t xml:space="preserve">in </w:t>
      </w:r>
      <w:r w:rsidR="00856403">
        <w:t xml:space="preserve">line with </w:t>
      </w:r>
      <w:r>
        <w:t xml:space="preserve">the </w:t>
      </w:r>
      <w:r w:rsidR="00856403">
        <w:t xml:space="preserve">Police Scotland’s </w:t>
      </w:r>
      <w:r>
        <w:t>Record Retention Standard Operating Procedure.</w:t>
      </w:r>
    </w:p>
    <w:p w14:paraId="4264CC0F" w14:textId="6661B373" w:rsidR="009A1002" w:rsidRDefault="009A1002" w:rsidP="00856403">
      <w:pPr>
        <w:tabs>
          <w:tab w:val="left" w:pos="5400"/>
        </w:tabs>
      </w:pPr>
      <w:r>
        <w:t xml:space="preserve">Applications for Police Officer roles: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s for Police Officer roles, 2022, broken down by male and female."/>
        <w:tblDescription w:val="Applicants for Police Officer roles, 2022, broken down by male and female"/>
      </w:tblPr>
      <w:tblGrid>
        <w:gridCol w:w="2254"/>
        <w:gridCol w:w="2268"/>
        <w:gridCol w:w="2268"/>
        <w:gridCol w:w="2268"/>
      </w:tblGrid>
      <w:tr w:rsidR="00B7095D" w14:paraId="1ABA62C6" w14:textId="0D01171F" w:rsidTr="009E549B">
        <w:tc>
          <w:tcPr>
            <w:tcW w:w="2254" w:type="dxa"/>
            <w:shd w:val="clear" w:color="auto" w:fill="E7E6E6" w:themeFill="background2"/>
          </w:tcPr>
          <w:p w14:paraId="0A12FE7F" w14:textId="77777777" w:rsidR="00B7095D" w:rsidRPr="009A1002" w:rsidRDefault="00B7095D" w:rsidP="00B7095D">
            <w:pPr>
              <w:spacing w:line="240" w:lineRule="auto"/>
              <w:rPr>
                <w:b/>
                <w:bCs/>
              </w:rPr>
            </w:pPr>
            <w:r w:rsidRPr="009A1002">
              <w:rPr>
                <w:b/>
                <w:bCs/>
              </w:rPr>
              <w:t>Applied</w:t>
            </w:r>
          </w:p>
        </w:tc>
        <w:tc>
          <w:tcPr>
            <w:tcW w:w="2268" w:type="dxa"/>
            <w:shd w:val="clear" w:color="auto" w:fill="E7E6E6" w:themeFill="background2"/>
          </w:tcPr>
          <w:p w14:paraId="15B9FA0C" w14:textId="2B0127D4" w:rsidR="00B7095D" w:rsidRPr="009A1002" w:rsidRDefault="00B7095D" w:rsidP="00B7095D">
            <w:pPr>
              <w:spacing w:line="240" w:lineRule="auto"/>
              <w:rPr>
                <w:b/>
                <w:bCs/>
              </w:rPr>
            </w:pPr>
            <w:r>
              <w:rPr>
                <w:b/>
                <w:bCs/>
              </w:rPr>
              <w:t>2022</w:t>
            </w:r>
          </w:p>
        </w:tc>
        <w:tc>
          <w:tcPr>
            <w:tcW w:w="2268" w:type="dxa"/>
            <w:shd w:val="clear" w:color="auto" w:fill="E7E6E6" w:themeFill="background2"/>
          </w:tcPr>
          <w:p w14:paraId="4F7C61AB" w14:textId="76D28C44" w:rsidR="00B7095D" w:rsidRPr="009A1002" w:rsidRDefault="00B7095D" w:rsidP="00B7095D">
            <w:pPr>
              <w:spacing w:line="240" w:lineRule="auto"/>
              <w:rPr>
                <w:b/>
                <w:bCs/>
              </w:rPr>
            </w:pPr>
            <w:r>
              <w:rPr>
                <w:b/>
                <w:bCs/>
              </w:rPr>
              <w:t>2023</w:t>
            </w:r>
          </w:p>
        </w:tc>
        <w:tc>
          <w:tcPr>
            <w:tcW w:w="2268" w:type="dxa"/>
            <w:shd w:val="clear" w:color="auto" w:fill="E7E6E6" w:themeFill="background2"/>
          </w:tcPr>
          <w:p w14:paraId="7DE0B2AF" w14:textId="29FDCE50" w:rsidR="00B7095D" w:rsidRPr="009A1002" w:rsidRDefault="00B7095D" w:rsidP="00B7095D">
            <w:pPr>
              <w:spacing w:line="240" w:lineRule="auto"/>
              <w:rPr>
                <w:b/>
                <w:bCs/>
              </w:rPr>
            </w:pPr>
            <w:r>
              <w:rPr>
                <w:b/>
                <w:bCs/>
              </w:rPr>
              <w:t>2024</w:t>
            </w:r>
          </w:p>
        </w:tc>
      </w:tr>
      <w:tr w:rsidR="00B7095D" w:rsidRPr="00B7095D" w14:paraId="5080D2AE" w14:textId="3033ED25" w:rsidTr="009E549B">
        <w:tc>
          <w:tcPr>
            <w:tcW w:w="2254" w:type="dxa"/>
            <w:shd w:val="clear" w:color="auto" w:fill="FFFFFF" w:themeFill="background1"/>
          </w:tcPr>
          <w:p w14:paraId="7B6BF32F" w14:textId="77777777" w:rsidR="00B7095D" w:rsidRPr="00B7095D" w:rsidRDefault="00B7095D" w:rsidP="00B7095D">
            <w:pPr>
              <w:spacing w:line="240" w:lineRule="auto"/>
            </w:pPr>
            <w:r w:rsidRPr="00B7095D">
              <w:t>Male</w:t>
            </w:r>
          </w:p>
        </w:tc>
        <w:tc>
          <w:tcPr>
            <w:tcW w:w="2268" w:type="dxa"/>
            <w:shd w:val="clear" w:color="auto" w:fill="FFFFFF" w:themeFill="background1"/>
          </w:tcPr>
          <w:p w14:paraId="775D472F" w14:textId="77777777" w:rsidR="00B7095D" w:rsidRPr="00B7095D" w:rsidRDefault="00B7095D" w:rsidP="00B7095D">
            <w:pPr>
              <w:spacing w:line="240" w:lineRule="auto"/>
            </w:pPr>
            <w:r w:rsidRPr="00B7095D">
              <w:t>69.8%</w:t>
            </w:r>
          </w:p>
        </w:tc>
        <w:tc>
          <w:tcPr>
            <w:tcW w:w="2268" w:type="dxa"/>
            <w:shd w:val="clear" w:color="auto" w:fill="FFFFFF" w:themeFill="background1"/>
          </w:tcPr>
          <w:p w14:paraId="4BC8319F" w14:textId="3948F813" w:rsidR="00B7095D" w:rsidRPr="00B7095D" w:rsidRDefault="00B7095D" w:rsidP="00B7095D">
            <w:pPr>
              <w:spacing w:line="240" w:lineRule="auto"/>
            </w:pPr>
            <w:r w:rsidRPr="00B7095D">
              <w:t>67.6%</w:t>
            </w:r>
          </w:p>
        </w:tc>
        <w:tc>
          <w:tcPr>
            <w:tcW w:w="2268" w:type="dxa"/>
            <w:shd w:val="clear" w:color="auto" w:fill="FFFFFF" w:themeFill="background1"/>
          </w:tcPr>
          <w:p w14:paraId="531D6ACC" w14:textId="506C702B" w:rsidR="00B7095D" w:rsidRPr="00B7095D" w:rsidRDefault="00B7095D" w:rsidP="00B7095D">
            <w:pPr>
              <w:spacing w:line="240" w:lineRule="auto"/>
            </w:pPr>
            <w:r w:rsidRPr="00B7095D">
              <w:t>70%</w:t>
            </w:r>
          </w:p>
        </w:tc>
      </w:tr>
      <w:tr w:rsidR="00B7095D" w:rsidRPr="00B7095D" w14:paraId="5095434B" w14:textId="2A970374" w:rsidTr="009E549B">
        <w:tc>
          <w:tcPr>
            <w:tcW w:w="2254" w:type="dxa"/>
            <w:shd w:val="clear" w:color="auto" w:fill="FFFFFF" w:themeFill="background1"/>
          </w:tcPr>
          <w:p w14:paraId="791F39BF" w14:textId="77777777" w:rsidR="00B7095D" w:rsidRPr="00B7095D" w:rsidRDefault="00B7095D" w:rsidP="00B7095D">
            <w:pPr>
              <w:spacing w:line="240" w:lineRule="auto"/>
            </w:pPr>
            <w:r w:rsidRPr="00B7095D">
              <w:t>Female</w:t>
            </w:r>
          </w:p>
        </w:tc>
        <w:tc>
          <w:tcPr>
            <w:tcW w:w="2268" w:type="dxa"/>
            <w:shd w:val="clear" w:color="auto" w:fill="FFFFFF" w:themeFill="background1"/>
          </w:tcPr>
          <w:p w14:paraId="3DF73ABD" w14:textId="77777777" w:rsidR="00B7095D" w:rsidRPr="00B7095D" w:rsidRDefault="00B7095D" w:rsidP="00B7095D">
            <w:pPr>
              <w:spacing w:line="240" w:lineRule="auto"/>
            </w:pPr>
            <w:r w:rsidRPr="00B7095D">
              <w:t>30.2%</w:t>
            </w:r>
          </w:p>
        </w:tc>
        <w:tc>
          <w:tcPr>
            <w:tcW w:w="2268" w:type="dxa"/>
            <w:shd w:val="clear" w:color="auto" w:fill="FFFFFF" w:themeFill="background1"/>
          </w:tcPr>
          <w:p w14:paraId="45C22922" w14:textId="3F61C473" w:rsidR="00B7095D" w:rsidRPr="00B7095D" w:rsidRDefault="00B7095D" w:rsidP="00B7095D">
            <w:pPr>
              <w:spacing w:line="240" w:lineRule="auto"/>
            </w:pPr>
            <w:r w:rsidRPr="00B7095D">
              <w:t>32.4%</w:t>
            </w:r>
          </w:p>
        </w:tc>
        <w:tc>
          <w:tcPr>
            <w:tcW w:w="2268" w:type="dxa"/>
            <w:shd w:val="clear" w:color="auto" w:fill="FFFFFF" w:themeFill="background1"/>
          </w:tcPr>
          <w:p w14:paraId="7E6C4FD4" w14:textId="6B180C51" w:rsidR="00B7095D" w:rsidRPr="00B7095D" w:rsidRDefault="00B7095D" w:rsidP="00B7095D">
            <w:pPr>
              <w:spacing w:line="240" w:lineRule="auto"/>
            </w:pPr>
            <w:r w:rsidRPr="00B7095D">
              <w:t>30%</w:t>
            </w:r>
          </w:p>
        </w:tc>
      </w:tr>
      <w:tr w:rsidR="00B7095D" w:rsidRPr="00B7095D" w14:paraId="587F8113" w14:textId="1C3F7E4A" w:rsidTr="009E549B">
        <w:tc>
          <w:tcPr>
            <w:tcW w:w="2254" w:type="dxa"/>
            <w:shd w:val="clear" w:color="auto" w:fill="FFFFFF" w:themeFill="background1"/>
          </w:tcPr>
          <w:p w14:paraId="09437DE6" w14:textId="77777777" w:rsidR="00B7095D" w:rsidRPr="00B7095D" w:rsidRDefault="00B7095D" w:rsidP="00B7095D">
            <w:pPr>
              <w:spacing w:line="240" w:lineRule="auto"/>
            </w:pPr>
            <w:r w:rsidRPr="00B7095D">
              <w:t xml:space="preserve">Total </w:t>
            </w:r>
          </w:p>
        </w:tc>
        <w:tc>
          <w:tcPr>
            <w:tcW w:w="2268" w:type="dxa"/>
            <w:shd w:val="clear" w:color="auto" w:fill="FFFFFF" w:themeFill="background1"/>
          </w:tcPr>
          <w:p w14:paraId="7D41985F" w14:textId="77777777" w:rsidR="00B7095D" w:rsidRPr="00B7095D" w:rsidRDefault="00B7095D" w:rsidP="00B7095D">
            <w:pPr>
              <w:spacing w:line="240" w:lineRule="auto"/>
            </w:pPr>
            <w:r w:rsidRPr="00B7095D">
              <w:t>3874</w:t>
            </w:r>
          </w:p>
        </w:tc>
        <w:tc>
          <w:tcPr>
            <w:tcW w:w="2268" w:type="dxa"/>
            <w:shd w:val="clear" w:color="auto" w:fill="FFFFFF" w:themeFill="background1"/>
          </w:tcPr>
          <w:p w14:paraId="4EFD0751" w14:textId="24BA3790" w:rsidR="00B7095D" w:rsidRPr="00B7095D" w:rsidRDefault="00B7095D" w:rsidP="00B7095D">
            <w:pPr>
              <w:spacing w:line="240" w:lineRule="auto"/>
            </w:pPr>
            <w:r w:rsidRPr="00B7095D">
              <w:t>3236</w:t>
            </w:r>
          </w:p>
        </w:tc>
        <w:tc>
          <w:tcPr>
            <w:tcW w:w="2268" w:type="dxa"/>
            <w:shd w:val="clear" w:color="auto" w:fill="FFFFFF" w:themeFill="background1"/>
          </w:tcPr>
          <w:p w14:paraId="4ADCA38A" w14:textId="149D7272" w:rsidR="00B7095D" w:rsidRPr="00B7095D" w:rsidRDefault="00B7095D" w:rsidP="00B7095D">
            <w:pPr>
              <w:spacing w:line="240" w:lineRule="auto"/>
            </w:pPr>
            <w:r w:rsidRPr="00B7095D">
              <w:t>2153</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E22B6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8620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A13E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4665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6137C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CD24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E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3F0346"/>
    <w:rsid w:val="004010DC"/>
    <w:rsid w:val="004341F0"/>
    <w:rsid w:val="00456324"/>
    <w:rsid w:val="00475460"/>
    <w:rsid w:val="00490317"/>
    <w:rsid w:val="00491644"/>
    <w:rsid w:val="00496A08"/>
    <w:rsid w:val="004E1605"/>
    <w:rsid w:val="004F653C"/>
    <w:rsid w:val="00540A52"/>
    <w:rsid w:val="00557306"/>
    <w:rsid w:val="00645CFA"/>
    <w:rsid w:val="0065348C"/>
    <w:rsid w:val="006D5799"/>
    <w:rsid w:val="00743BB0"/>
    <w:rsid w:val="00750D83"/>
    <w:rsid w:val="00752ED6"/>
    <w:rsid w:val="00785DBC"/>
    <w:rsid w:val="00793DD5"/>
    <w:rsid w:val="007D55F6"/>
    <w:rsid w:val="007F490F"/>
    <w:rsid w:val="00856403"/>
    <w:rsid w:val="0086779C"/>
    <w:rsid w:val="00874BFD"/>
    <w:rsid w:val="008964EF"/>
    <w:rsid w:val="00915E01"/>
    <w:rsid w:val="0093124F"/>
    <w:rsid w:val="009631A4"/>
    <w:rsid w:val="00977296"/>
    <w:rsid w:val="009A1002"/>
    <w:rsid w:val="00A25E93"/>
    <w:rsid w:val="00A320FF"/>
    <w:rsid w:val="00A70AC0"/>
    <w:rsid w:val="00A84EA9"/>
    <w:rsid w:val="00AC443C"/>
    <w:rsid w:val="00B11A55"/>
    <w:rsid w:val="00B17211"/>
    <w:rsid w:val="00B461B2"/>
    <w:rsid w:val="00B654B6"/>
    <w:rsid w:val="00B7095D"/>
    <w:rsid w:val="00B71B3C"/>
    <w:rsid w:val="00BC389E"/>
    <w:rsid w:val="00BE1888"/>
    <w:rsid w:val="00BF03E8"/>
    <w:rsid w:val="00BF6B81"/>
    <w:rsid w:val="00C077A8"/>
    <w:rsid w:val="00C14FF4"/>
    <w:rsid w:val="00C606A2"/>
    <w:rsid w:val="00C63872"/>
    <w:rsid w:val="00C73E0C"/>
    <w:rsid w:val="00C84948"/>
    <w:rsid w:val="00CB3707"/>
    <w:rsid w:val="00CC705D"/>
    <w:rsid w:val="00CD0C53"/>
    <w:rsid w:val="00CF1111"/>
    <w:rsid w:val="00D05706"/>
    <w:rsid w:val="00D27DC5"/>
    <w:rsid w:val="00D44B13"/>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2024-08-06T12:46:00Z</cp:lastPrinted>
  <dcterms:created xsi:type="dcterms:W3CDTF">2024-08-06T12:29:00Z</dcterms:created>
  <dcterms:modified xsi:type="dcterms:W3CDTF">2024-08-06T12:46:00Z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