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3DA73A59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AC0E57">
              <w:t>2949</w:t>
            </w:r>
          </w:p>
          <w:p w14:paraId="5BEC4C5F" w14:textId="55731CD1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EF335D">
              <w:t>January 2025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F4CC79" w14:textId="77777777" w:rsidR="00AC0E57" w:rsidRPr="00AC0E57" w:rsidRDefault="00AC0E57" w:rsidP="00AC0E57">
      <w:pPr>
        <w:rPr>
          <w:rFonts w:eastAsia="Times New Roman"/>
          <w:b/>
          <w:bCs/>
        </w:rPr>
      </w:pPr>
      <w:r w:rsidRPr="00AC0E57">
        <w:rPr>
          <w:rFonts w:eastAsia="Times New Roman"/>
          <w:b/>
          <w:bCs/>
        </w:rPr>
        <w:t>1. How many serving police officers were charged with criminal offences of domestic abuse in each of the past 3 years?</w:t>
      </w:r>
    </w:p>
    <w:p w14:paraId="39768049" w14:textId="77777777" w:rsidR="00AC0E57" w:rsidRDefault="00AC0E57" w:rsidP="00AC0E57">
      <w:r>
        <w:t xml:space="preserve">Data has been provided below which details the number of Police officers charged for criminal offences involving a domestic circumstance, which were reported to the Procurator Fiscal between 01/04/2021 – 31/03/2024 inclusive. </w:t>
      </w:r>
    </w:p>
    <w:p w14:paraId="42D022B9" w14:textId="2F17A736" w:rsidR="00AC0E57" w:rsidRDefault="00AC0E57" w:rsidP="00AC0E57">
      <w:r>
        <w:t xml:space="preserve">This data has been broken down by financial year. </w:t>
      </w:r>
    </w:p>
    <w:p w14:paraId="274971CE" w14:textId="7AA5BCAB" w:rsidR="00AC0E57" w:rsidRPr="00AC0E57" w:rsidRDefault="00AC0E57" w:rsidP="00AC0E57">
      <w:pPr>
        <w:rPr>
          <w:i/>
          <w:iCs/>
        </w:rPr>
      </w:pPr>
      <w:r w:rsidRPr="00AC0E57">
        <w:rPr>
          <w:i/>
          <w:iCs/>
        </w:rPr>
        <w:t xml:space="preserve">Table 1: Subject officers charged in relation to criminal offences involving a domestic circumstance, by financial year </w:t>
      </w:r>
      <w:r w:rsidRPr="00AC0E57">
        <w:rPr>
          <w:i/>
          <w:iCs/>
          <w:vertAlign w:val="superscript"/>
        </w:rPr>
        <w:t>1 2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: Subject officers charged in relation to criminal offences involving a domestic circumstance (Conduct), by financial year 1 2"/>
        <w:tblDescription w:val="Table 1: Subject officers charged in relation to criminal offences involving a domestic circumstance (Conduct), by financial year 1 2"/>
      </w:tblPr>
      <w:tblGrid>
        <w:gridCol w:w="3676"/>
        <w:gridCol w:w="1890"/>
        <w:gridCol w:w="1890"/>
        <w:gridCol w:w="1890"/>
      </w:tblGrid>
      <w:tr w:rsidR="00AC0E57" w14:paraId="6424E23F" w14:textId="77777777" w:rsidTr="00AC0E57">
        <w:trPr>
          <w:trHeight w:val="315"/>
          <w:tblHeader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C4ED" w14:textId="77777777" w:rsidR="00AC0E57" w:rsidRDefault="00AC0E57" w:rsidP="00AC0E57">
            <w:r>
              <w:t>Category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0D0" w14:textId="77777777" w:rsidR="00AC0E57" w:rsidRDefault="00AC0E57" w:rsidP="00AC0E57">
            <w:r>
              <w:t>2021/22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57CD" w14:textId="77777777" w:rsidR="00AC0E57" w:rsidRDefault="00AC0E57" w:rsidP="00AC0E57">
            <w:r>
              <w:t>2022/23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1DF3" w14:textId="77777777" w:rsidR="00AC0E57" w:rsidRDefault="00AC0E57" w:rsidP="00AC0E57">
            <w:r>
              <w:t>2023/24</w:t>
            </w:r>
          </w:p>
        </w:tc>
      </w:tr>
      <w:tr w:rsidR="00AC0E57" w14:paraId="69BA6CC3" w14:textId="77777777" w:rsidTr="00AC0E57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652C" w14:textId="77777777" w:rsidR="00AC0E57" w:rsidRDefault="00AC0E57" w:rsidP="00AC0E57">
            <w:r>
              <w:t>Subject officers charged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4478" w14:textId="77777777" w:rsidR="00AC0E57" w:rsidRDefault="00AC0E57" w:rsidP="00AC0E57">
            <w: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7043" w14:textId="77777777" w:rsidR="00AC0E57" w:rsidRDefault="00AC0E57" w:rsidP="00AC0E57">
            <w: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6474" w14:textId="77777777" w:rsidR="00AC0E57" w:rsidRDefault="00AC0E57" w:rsidP="00AC0E57">
            <w:r>
              <w:t>13</w:t>
            </w:r>
          </w:p>
        </w:tc>
      </w:tr>
    </w:tbl>
    <w:p w14:paraId="2FEB5EA4" w14:textId="77777777" w:rsidR="00AC0E57" w:rsidRDefault="00AC0E57" w:rsidP="00AC0E57">
      <w:pPr>
        <w:rPr>
          <w:rFonts w:cs="Calibri"/>
          <w:lang w:eastAsia="en-GB"/>
        </w:rPr>
      </w:pPr>
      <w:r>
        <w:rPr>
          <w:lang w:eastAsia="en-GB"/>
        </w:rPr>
        <w:t>1 . Data is based on the date reported to the Procurator Fiscal.</w:t>
      </w:r>
    </w:p>
    <w:p w14:paraId="739A7F55" w14:textId="77777777" w:rsidR="00AC0E57" w:rsidRDefault="00AC0E57" w:rsidP="00AC0E57">
      <w:r>
        <w:t>2 . Subject officers are counted once per case. It is possible for the same individual officer to be attached to multiple cases.  </w:t>
      </w:r>
    </w:p>
    <w:p w14:paraId="57553D2F" w14:textId="77777777" w:rsidR="00AC0E57" w:rsidRPr="00AC0E57" w:rsidRDefault="00AC0E57" w:rsidP="00AC0E57">
      <w:pPr>
        <w:rPr>
          <w:rFonts w:eastAsia="Times New Roman"/>
          <w:b/>
          <w:bCs/>
        </w:rPr>
      </w:pPr>
    </w:p>
    <w:p w14:paraId="7DECF55C" w14:textId="32CB7F03" w:rsidR="00AC0E57" w:rsidRDefault="00AC0E57" w:rsidP="00AC0E57">
      <w:pPr>
        <w:rPr>
          <w:rFonts w:eastAsia="Times New Roman"/>
          <w:b/>
          <w:bCs/>
        </w:rPr>
      </w:pPr>
      <w:r w:rsidRPr="00AC0E57">
        <w:rPr>
          <w:rFonts w:eastAsia="Times New Roman"/>
          <w:b/>
          <w:bCs/>
        </w:rPr>
        <w:t>2. Of those charged with domestic abuse offences, how many were suspended from duty and how many were not?</w:t>
      </w:r>
    </w:p>
    <w:p w14:paraId="6EC5BD7E" w14:textId="77777777" w:rsidR="00AC0E57" w:rsidRDefault="00AC0E57" w:rsidP="00AC0E57">
      <w:r>
        <w:t xml:space="preserve">Data has been provided below which details the number of Police officers charged for criminal offences involving a domestic circumstance, which were reported to the Procurator Fiscal between 01/04/2021 – 31/03/2024 inclusive. This data has been broken down by the subject officer’s suspensions status and financial year. </w:t>
      </w:r>
    </w:p>
    <w:p w14:paraId="33038D3A" w14:textId="77777777" w:rsidR="00AC0E57" w:rsidRDefault="00AC0E57" w:rsidP="00AC0E57">
      <w:r>
        <w:t xml:space="preserve">Please note that the date of suspension may vary from the period in which the subject officer was charged. </w:t>
      </w:r>
    </w:p>
    <w:p w14:paraId="45C8C6CD" w14:textId="2C1FA54D" w:rsidR="00AC0E57" w:rsidRDefault="00AC0E57" w:rsidP="00AC0E57">
      <w:r>
        <w:lastRenderedPageBreak/>
        <w:t xml:space="preserve">Please also note that it is possible for the same individual officer to be suspended in relation to more than one case. As per our response to question 1 above, the data provided here is based on subject officers (which are a maximum of one per conduct case). </w:t>
      </w:r>
    </w:p>
    <w:p w14:paraId="000085C2" w14:textId="7E958027" w:rsidR="00AC0E57" w:rsidRPr="00AC0E57" w:rsidRDefault="00AC0E57" w:rsidP="00AC0E57">
      <w:pPr>
        <w:rPr>
          <w:i/>
          <w:iCs/>
        </w:rPr>
      </w:pPr>
      <w:r w:rsidRPr="00AC0E57">
        <w:rPr>
          <w:i/>
          <w:iCs/>
        </w:rPr>
        <w:t xml:space="preserve">Table 2: Subject officers charged in relation to criminal offences involving a domestic circumstance, by suspension status and financial year </w:t>
      </w:r>
      <w:r w:rsidRPr="00AC0E57">
        <w:rPr>
          <w:i/>
          <w:iCs/>
          <w:vertAlign w:val="superscript"/>
        </w:rPr>
        <w:t>1 2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2: Subject officers charged in relation to criminal offences involving a domestic circumstance (Conduct), by suspension status and financial year 1 2"/>
        <w:tblDescription w:val="Table 2: Subject officers charged in relation to criminal offences involving a domestic circumstance (Conduct), by suspension status and financial year 1 2"/>
      </w:tblPr>
      <w:tblGrid>
        <w:gridCol w:w="3392"/>
        <w:gridCol w:w="1984"/>
        <w:gridCol w:w="1985"/>
        <w:gridCol w:w="1985"/>
      </w:tblGrid>
      <w:tr w:rsidR="00AC0E57" w14:paraId="79BCD923" w14:textId="77777777" w:rsidTr="00AC0E57">
        <w:trPr>
          <w:trHeight w:val="315"/>
          <w:tblHeader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AE58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Suspension status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2BE1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3346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EAC8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</w:tr>
      <w:tr w:rsidR="00AC0E57" w14:paraId="735026C6" w14:textId="77777777" w:rsidTr="00AC0E57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15CA" w14:textId="77777777" w:rsidR="00AC0E57" w:rsidRDefault="00AC0E57" w:rsidP="00AC0E57">
            <w:r>
              <w:t>Not suspended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CCD0" w14:textId="77777777" w:rsidR="00AC0E57" w:rsidRDefault="00AC0E57" w:rsidP="00AC0E57">
            <w: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06A7" w14:textId="77777777" w:rsidR="00AC0E57" w:rsidRDefault="00AC0E57" w:rsidP="00AC0E57">
            <w: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0C42" w14:textId="77777777" w:rsidR="00AC0E57" w:rsidRDefault="00AC0E57" w:rsidP="00AC0E57">
            <w:r>
              <w:t>6</w:t>
            </w:r>
          </w:p>
        </w:tc>
      </w:tr>
      <w:tr w:rsidR="00AC0E57" w14:paraId="7EEEDE95" w14:textId="77777777" w:rsidTr="00AC0E57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8239" w14:textId="77777777" w:rsidR="00AC0E57" w:rsidRDefault="00AC0E57" w:rsidP="00AC0E57">
            <w:r>
              <w:t>Suspended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AE21" w14:textId="77777777" w:rsidR="00AC0E57" w:rsidRDefault="00AC0E57" w:rsidP="00AC0E57">
            <w: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17A1" w14:textId="77777777" w:rsidR="00AC0E57" w:rsidRDefault="00AC0E57" w:rsidP="00AC0E57">
            <w: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6E0E" w14:textId="77777777" w:rsidR="00AC0E57" w:rsidRDefault="00AC0E57" w:rsidP="00AC0E57">
            <w:r>
              <w:t>7</w:t>
            </w:r>
          </w:p>
        </w:tc>
      </w:tr>
      <w:tr w:rsidR="00AC0E57" w14:paraId="4A8D9353" w14:textId="77777777" w:rsidTr="00AC0E57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EF9E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530B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B43F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BA44" w14:textId="77777777" w:rsidR="00AC0E57" w:rsidRDefault="00AC0E57" w:rsidP="00AC0E5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3459C213" w14:textId="77777777" w:rsidR="00AC0E57" w:rsidRDefault="00AC0E57" w:rsidP="00AC0E57">
      <w:pPr>
        <w:rPr>
          <w:rFonts w:eastAsia="Times New Roman" w:cs="Calibri"/>
          <w:lang w:eastAsia="en-GB"/>
        </w:rPr>
      </w:pPr>
      <w:r>
        <w:rPr>
          <w:rFonts w:eastAsia="Times New Roman"/>
          <w:lang w:eastAsia="en-GB"/>
        </w:rPr>
        <w:t>1 . Data is based on the date reported to the Procurator Fiscal.</w:t>
      </w:r>
    </w:p>
    <w:p w14:paraId="72773475" w14:textId="77777777" w:rsidR="00AC0E57" w:rsidRDefault="00AC0E57" w:rsidP="00AC0E57">
      <w:r>
        <w:t>2 . Subject officers are counted once per case. It is possible for the same individual officer to be attached to multiple cases.  </w:t>
      </w:r>
    </w:p>
    <w:p w14:paraId="01208DB2" w14:textId="77777777" w:rsidR="000E1D8F" w:rsidRDefault="000E1D8F" w:rsidP="00AC0E57">
      <w:pPr>
        <w:rPr>
          <w:rFonts w:eastAsia="Times New Roman"/>
          <w:b/>
          <w:bCs/>
        </w:rPr>
      </w:pPr>
    </w:p>
    <w:p w14:paraId="7CDF3BB1" w14:textId="57555EBE" w:rsidR="00AC0E57" w:rsidRPr="00AC0E57" w:rsidRDefault="00AC0E57" w:rsidP="00AC0E57">
      <w:pPr>
        <w:rPr>
          <w:rFonts w:eastAsia="Times New Roman"/>
          <w:b/>
          <w:bCs/>
        </w:rPr>
      </w:pPr>
      <w:r w:rsidRPr="00AC0E57">
        <w:rPr>
          <w:rFonts w:eastAsia="Times New Roman"/>
          <w:b/>
          <w:bCs/>
        </w:rPr>
        <w:t>3. Of the ones who were not suspended, how many were female and how many were male?</w:t>
      </w:r>
    </w:p>
    <w:p w14:paraId="0C4F34EA" w14:textId="3F5C0F58" w:rsidR="00AC0E57" w:rsidRPr="00AC0E57" w:rsidRDefault="00AC0E57" w:rsidP="00AC0E57">
      <w:pPr>
        <w:rPr>
          <w:i/>
          <w:iCs/>
        </w:rPr>
      </w:pPr>
      <w:r w:rsidRPr="00AC0E57">
        <w:rPr>
          <w:i/>
          <w:iCs/>
        </w:rPr>
        <w:t xml:space="preserve">Table 3: Subject officers charged in relation to criminal offences involving a domestic circumstance and who were not suspended, by sex and financial year </w:t>
      </w:r>
      <w:r w:rsidRPr="00AC0E57">
        <w:rPr>
          <w:i/>
          <w:iCs/>
          <w:vertAlign w:val="superscript"/>
        </w:rPr>
        <w:t>1 2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3: Subject officers charged in relation to criminal offences involving a domestic circumstance and who were not suspended (Conduct), by sex and financial year 1 2"/>
        <w:tblDescription w:val="Table 3: Subject officers charged in relation to criminal offences involving a domestic circumstance and who were not suspended (Conduct), by sex and financial year 1 2"/>
      </w:tblPr>
      <w:tblGrid>
        <w:gridCol w:w="3392"/>
        <w:gridCol w:w="2032"/>
        <w:gridCol w:w="2032"/>
        <w:gridCol w:w="2032"/>
      </w:tblGrid>
      <w:tr w:rsidR="00AC0E57" w14:paraId="183EAC7C" w14:textId="77777777" w:rsidTr="00AC0E57">
        <w:trPr>
          <w:trHeight w:val="315"/>
          <w:tblHeader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B90B" w14:textId="4568A8C5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Gender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B224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2021/22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CC12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2022/23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A2D6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2023/24</w:t>
            </w:r>
          </w:p>
        </w:tc>
      </w:tr>
      <w:tr w:rsidR="00AC0E57" w14:paraId="4B06BE4A" w14:textId="77777777" w:rsidTr="00AC0E57">
        <w:trPr>
          <w:trHeight w:val="315"/>
          <w:tblHeader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C220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Female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1E7E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8B95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BBBA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2</w:t>
            </w:r>
          </w:p>
        </w:tc>
      </w:tr>
      <w:tr w:rsidR="00AC0E57" w14:paraId="71D62242" w14:textId="77777777" w:rsidTr="00AC0E57">
        <w:trPr>
          <w:trHeight w:val="315"/>
          <w:tblHeader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F020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Male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F443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72BF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035F" w14:textId="77777777" w:rsidR="00AC0E57" w:rsidRDefault="00AC0E57">
            <w:pPr>
              <w:spacing w:after="160" w:line="276" w:lineRule="auto"/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4</w:t>
            </w:r>
          </w:p>
        </w:tc>
      </w:tr>
      <w:tr w:rsidR="00AC0E57" w14:paraId="6297FB93" w14:textId="77777777" w:rsidTr="00AC0E57">
        <w:trPr>
          <w:trHeight w:val="315"/>
          <w:tblHeader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3A82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Total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62DF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D018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DC59" w14:textId="77777777" w:rsidR="00AC0E57" w:rsidRDefault="00AC0E57">
            <w:pPr>
              <w:spacing w:after="160" w:line="276" w:lineRule="auto"/>
              <w:rPr>
                <w:rFonts w:ascii="Aptos" w:hAnsi="Aptos"/>
                <w:b/>
                <w:bCs/>
                <w14:ligatures w14:val="standardContextual"/>
              </w:rPr>
            </w:pPr>
            <w:r>
              <w:rPr>
                <w:rFonts w:ascii="Aptos" w:hAnsi="Aptos"/>
                <w:b/>
                <w:bCs/>
                <w14:ligatures w14:val="standardContextual"/>
              </w:rPr>
              <w:t>6</w:t>
            </w:r>
          </w:p>
        </w:tc>
      </w:tr>
    </w:tbl>
    <w:p w14:paraId="7B9B2DE9" w14:textId="77777777" w:rsidR="00AC0E57" w:rsidRDefault="00AC0E57" w:rsidP="0042622A">
      <w:pPr>
        <w:rPr>
          <w:rFonts w:cs="Calibri"/>
          <w:lang w:eastAsia="en-GB"/>
        </w:rPr>
      </w:pPr>
      <w:r>
        <w:rPr>
          <w:lang w:eastAsia="en-GB"/>
        </w:rPr>
        <w:t>1 . Data is based on the date reported to the Procurator Fiscal.</w:t>
      </w:r>
    </w:p>
    <w:p w14:paraId="0B3D38FC" w14:textId="77777777" w:rsidR="00AC0E57" w:rsidRDefault="00AC0E57" w:rsidP="0042622A">
      <w:r>
        <w:t>2 . Subject officers are counted once per case. It is possible for the same individual officer to be attached to multiple cases.  </w:t>
      </w:r>
    </w:p>
    <w:p w14:paraId="1B01FD86" w14:textId="77777777" w:rsidR="00AC0E57" w:rsidRPr="00AC0E57" w:rsidRDefault="00AC0E57" w:rsidP="00AC0E57">
      <w:pPr>
        <w:rPr>
          <w:rFonts w:eastAsia="Times New Roman"/>
          <w:b/>
          <w:bCs/>
        </w:rPr>
      </w:pPr>
    </w:p>
    <w:p w14:paraId="3667B9D9" w14:textId="77777777" w:rsidR="00AC0E57" w:rsidRPr="00AC0E57" w:rsidRDefault="00AC0E57" w:rsidP="00AC0E57">
      <w:pPr>
        <w:rPr>
          <w:rFonts w:eastAsia="Times New Roman"/>
          <w:b/>
          <w:bCs/>
        </w:rPr>
      </w:pPr>
      <w:r w:rsidRPr="00AC0E57">
        <w:rPr>
          <w:rFonts w:eastAsia="Times New Roman"/>
          <w:b/>
          <w:bCs/>
        </w:rPr>
        <w:lastRenderedPageBreak/>
        <w:t>4. Can the answers to questions 1-3 be repeated for police officers charged with crimes of dishonesty?</w:t>
      </w:r>
    </w:p>
    <w:p w14:paraId="0081FDB7" w14:textId="77777777" w:rsidR="0042622A" w:rsidRDefault="0042622A" w:rsidP="0042622A">
      <w:r>
        <w:t xml:space="preserve">Data has been provided below which details the number of Police officers charged for criminal offences classified as ‘Crimes of Dishonesty’, which were reported to the Procurator Fiscal between 01/04/2021 – 31/03/2024 inclusive. </w:t>
      </w:r>
    </w:p>
    <w:p w14:paraId="6FE898FF" w14:textId="2EF389EE" w:rsidR="000E1D8F" w:rsidRDefault="0042622A" w:rsidP="0042622A">
      <w:r>
        <w:t xml:space="preserve">This data has been broken down by financial year. </w:t>
      </w:r>
    </w:p>
    <w:p w14:paraId="0E391155" w14:textId="77777777" w:rsidR="00222BBA" w:rsidRPr="00222BBA" w:rsidRDefault="00222BBA" w:rsidP="0042622A"/>
    <w:p w14:paraId="23070F65" w14:textId="65280E4F" w:rsidR="0042622A" w:rsidRPr="0042622A" w:rsidRDefault="0042622A" w:rsidP="0042622A">
      <w:pPr>
        <w:rPr>
          <w:i/>
          <w:iCs/>
        </w:rPr>
      </w:pPr>
      <w:r w:rsidRPr="0042622A">
        <w:rPr>
          <w:i/>
          <w:iCs/>
        </w:rPr>
        <w:t xml:space="preserve">Table 4: Subject officers charged in relation to criminal offences classified as ‘Crimes of Dishonesty’, by financial year </w:t>
      </w:r>
      <w:r w:rsidRPr="0042622A">
        <w:rPr>
          <w:i/>
          <w:iCs/>
          <w:vertAlign w:val="superscript"/>
        </w:rPr>
        <w:t>1 2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4: Subject officers charged in relation to criminal offences classified as ‘Crimes of Dishonesty’ (Conduct), by financial year 1 2"/>
        <w:tblDescription w:val="Table 4: Subject officers charged in relation to criminal offences classified as ‘Crimes of Dishonesty’ (Conduct), by financial year 1 2"/>
      </w:tblPr>
      <w:tblGrid>
        <w:gridCol w:w="3676"/>
        <w:gridCol w:w="1937"/>
        <w:gridCol w:w="1937"/>
        <w:gridCol w:w="1938"/>
      </w:tblGrid>
      <w:tr w:rsidR="0042622A" w14:paraId="1DF85C51" w14:textId="77777777" w:rsidTr="0042622A">
        <w:trPr>
          <w:trHeight w:val="315"/>
          <w:tblHeader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4A84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85F6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30AB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E52A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</w:tr>
      <w:tr w:rsidR="0042622A" w14:paraId="52A3B762" w14:textId="77777777" w:rsidTr="0042622A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6405" w14:textId="77777777" w:rsidR="0042622A" w:rsidRDefault="0042622A" w:rsidP="0042622A">
            <w:r>
              <w:t>Subject officers charged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F06E" w14:textId="77777777" w:rsidR="0042622A" w:rsidRDefault="0042622A" w:rsidP="0042622A">
            <w: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72EC" w14:textId="77777777" w:rsidR="0042622A" w:rsidRDefault="0042622A" w:rsidP="0042622A">
            <w: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7BBC" w14:textId="77777777" w:rsidR="0042622A" w:rsidRDefault="0042622A" w:rsidP="0042622A">
            <w:r>
              <w:t>3</w:t>
            </w:r>
          </w:p>
        </w:tc>
      </w:tr>
    </w:tbl>
    <w:p w14:paraId="6DBF0D81" w14:textId="77777777" w:rsidR="0042622A" w:rsidRDefault="0042622A" w:rsidP="0042622A">
      <w:pPr>
        <w:rPr>
          <w:rFonts w:eastAsia="Times New Roman" w:cs="Calibri"/>
          <w:lang w:eastAsia="en-GB"/>
        </w:rPr>
      </w:pPr>
      <w:r>
        <w:rPr>
          <w:rFonts w:eastAsia="Times New Roman"/>
          <w:lang w:eastAsia="en-GB"/>
        </w:rPr>
        <w:t>1 . Data is based on the date reported to the Procurator Fiscal.</w:t>
      </w:r>
    </w:p>
    <w:p w14:paraId="55760513" w14:textId="77777777" w:rsidR="0042622A" w:rsidRDefault="0042622A" w:rsidP="0042622A">
      <w:r>
        <w:t>2 . Subject officers are counted once per case. It is possible for the same individual officer to be attached to multiple cases.</w:t>
      </w:r>
    </w:p>
    <w:p w14:paraId="2BAD8371" w14:textId="77777777" w:rsidR="0042622A" w:rsidRDefault="0042622A" w:rsidP="0042622A"/>
    <w:p w14:paraId="3A986237" w14:textId="7A9B4102" w:rsidR="0042622A" w:rsidRPr="0042622A" w:rsidRDefault="0042622A" w:rsidP="0042622A">
      <w:pPr>
        <w:rPr>
          <w:i/>
          <w:iCs/>
        </w:rPr>
      </w:pPr>
      <w:r w:rsidRPr="0042622A">
        <w:rPr>
          <w:i/>
          <w:iCs/>
        </w:rPr>
        <w:t xml:space="preserve">Table 5: Subject officers charged in relation to criminal offences classified as ‘Crimes of Dishonesty’, by suspension status and financial year </w:t>
      </w:r>
      <w:r w:rsidRPr="0042622A">
        <w:rPr>
          <w:i/>
          <w:iCs/>
          <w:vertAlign w:val="superscript"/>
        </w:rPr>
        <w:t>1 2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5: Subject officers charged in relation to criminal offences classified as ‘Crimes of Dishonesty’ (Conduct), by suspension status and financial year 1 2"/>
        <w:tblDescription w:val="Table 5: Subject officers charged in relation to criminal offences classified as ‘Crimes of Dishonesty’ (Conduct), by suspension status and financial year 1 2"/>
      </w:tblPr>
      <w:tblGrid>
        <w:gridCol w:w="3534"/>
        <w:gridCol w:w="1937"/>
        <w:gridCol w:w="1937"/>
        <w:gridCol w:w="1938"/>
      </w:tblGrid>
      <w:tr w:rsidR="0042622A" w14:paraId="5BA4BD7A" w14:textId="77777777" w:rsidTr="0042622A">
        <w:trPr>
          <w:trHeight w:val="315"/>
          <w:tblHeader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9B7F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Suspension status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FD80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F158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7F47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</w:tr>
      <w:tr w:rsidR="0042622A" w14:paraId="4CA241F6" w14:textId="77777777" w:rsidTr="0042622A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E6BB" w14:textId="77777777" w:rsidR="0042622A" w:rsidRDefault="0042622A" w:rsidP="0042622A">
            <w:r>
              <w:t>Not suspended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85FA" w14:textId="77777777" w:rsidR="0042622A" w:rsidRDefault="0042622A" w:rsidP="0042622A">
            <w: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8CD5" w14:textId="77777777" w:rsidR="0042622A" w:rsidRDefault="0042622A" w:rsidP="0042622A">
            <w: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8605" w14:textId="77777777" w:rsidR="0042622A" w:rsidRDefault="0042622A" w:rsidP="0042622A">
            <w:r>
              <w:t>1</w:t>
            </w:r>
          </w:p>
        </w:tc>
      </w:tr>
      <w:tr w:rsidR="0042622A" w14:paraId="5A0BCEA5" w14:textId="77777777" w:rsidTr="0042622A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5389" w14:textId="77777777" w:rsidR="0042622A" w:rsidRDefault="0042622A" w:rsidP="0042622A">
            <w:r>
              <w:t>Suspended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6817" w14:textId="77777777" w:rsidR="0042622A" w:rsidRDefault="0042622A" w:rsidP="0042622A">
            <w:r>
              <w:t>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1279" w14:textId="77777777" w:rsidR="0042622A" w:rsidRDefault="0042622A" w:rsidP="0042622A">
            <w: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76D0" w14:textId="77777777" w:rsidR="0042622A" w:rsidRDefault="0042622A" w:rsidP="0042622A">
            <w:r>
              <w:t>2</w:t>
            </w:r>
          </w:p>
        </w:tc>
      </w:tr>
      <w:tr w:rsidR="0042622A" w14:paraId="55B8BA46" w14:textId="77777777" w:rsidTr="0042622A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7BEB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9008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5C73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5D94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2ACF0285" w14:textId="77777777" w:rsidR="0042622A" w:rsidRDefault="0042622A" w:rsidP="0042622A">
      <w:pPr>
        <w:rPr>
          <w:rFonts w:eastAsia="Times New Roman" w:cs="Calibri"/>
          <w:lang w:eastAsia="en-GB"/>
        </w:rPr>
      </w:pPr>
      <w:r>
        <w:rPr>
          <w:rFonts w:eastAsia="Times New Roman"/>
          <w:lang w:eastAsia="en-GB"/>
        </w:rPr>
        <w:t>1 . Data is based on the date reported to the Procurator Fiscal.</w:t>
      </w:r>
    </w:p>
    <w:p w14:paraId="62A08227" w14:textId="77777777" w:rsidR="0042622A" w:rsidRDefault="0042622A" w:rsidP="0042622A">
      <w:r>
        <w:t>2 . Subject officers are counted once per case. It is possible for the same individual officer to be attached to multiple cases.  </w:t>
      </w:r>
    </w:p>
    <w:p w14:paraId="42AE0A34" w14:textId="77777777" w:rsidR="0042622A" w:rsidRDefault="0042622A" w:rsidP="0042622A"/>
    <w:p w14:paraId="29CA4648" w14:textId="497BBAC4" w:rsidR="0042622A" w:rsidRPr="008D7EC4" w:rsidRDefault="0042622A" w:rsidP="0042622A">
      <w:pPr>
        <w:rPr>
          <w:i/>
          <w:iCs/>
        </w:rPr>
      </w:pPr>
      <w:r w:rsidRPr="008D7EC4">
        <w:rPr>
          <w:i/>
          <w:iCs/>
        </w:rPr>
        <w:lastRenderedPageBreak/>
        <w:t xml:space="preserve">Table 6: Subject officers charged in relation to criminal offences classified as ‘Crimes of Dishonesty’ and who were not suspended, by sex and financial year </w:t>
      </w:r>
      <w:r w:rsidRPr="008D7EC4">
        <w:rPr>
          <w:i/>
          <w:iCs/>
          <w:vertAlign w:val="superscript"/>
        </w:rPr>
        <w:t>1 2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6: Subject officers charged in relation to criminal offences classified as ‘Crimes of Dishonesty’ and who were not suspended (Conduct), by sex and financial year 1 2"/>
        <w:tblDescription w:val="Table 6: Subject officers charged in relation to criminal offences classified as ‘Crimes of Dishonesty’ and who were not suspended (Conduct), by sex and financial year 1 2"/>
      </w:tblPr>
      <w:tblGrid>
        <w:gridCol w:w="3676"/>
        <w:gridCol w:w="1701"/>
        <w:gridCol w:w="2126"/>
        <w:gridCol w:w="1985"/>
      </w:tblGrid>
      <w:tr w:rsidR="0042622A" w14:paraId="754532AF" w14:textId="77777777" w:rsidTr="0042622A">
        <w:trPr>
          <w:trHeight w:val="315"/>
          <w:tblHeader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0661" w14:textId="4B95E83C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A95A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2021/22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D40A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3E27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2023/24</w:t>
            </w:r>
          </w:p>
        </w:tc>
      </w:tr>
      <w:tr w:rsidR="0042622A" w14:paraId="34247298" w14:textId="77777777" w:rsidTr="0042622A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5F94" w14:textId="77777777" w:rsidR="0042622A" w:rsidRDefault="0042622A" w:rsidP="0042622A">
            <w: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A248" w14:textId="77777777" w:rsidR="0042622A" w:rsidRDefault="0042622A" w:rsidP="0042622A"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8531" w14:textId="77777777" w:rsidR="0042622A" w:rsidRDefault="0042622A" w:rsidP="0042622A">
            <w: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64E6" w14:textId="77777777" w:rsidR="0042622A" w:rsidRDefault="0042622A" w:rsidP="0042622A">
            <w:r>
              <w:t>0</w:t>
            </w:r>
          </w:p>
        </w:tc>
      </w:tr>
      <w:tr w:rsidR="0042622A" w14:paraId="45129DC3" w14:textId="77777777" w:rsidTr="0042622A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FD0B" w14:textId="77777777" w:rsidR="0042622A" w:rsidRDefault="0042622A" w:rsidP="0042622A">
            <w: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96B1" w14:textId="77777777" w:rsidR="0042622A" w:rsidRDefault="0042622A" w:rsidP="0042622A"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DC57" w14:textId="77777777" w:rsidR="0042622A" w:rsidRDefault="0042622A" w:rsidP="0042622A">
            <w: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DFDA" w14:textId="77777777" w:rsidR="0042622A" w:rsidRDefault="0042622A" w:rsidP="0042622A">
            <w:r>
              <w:t>1</w:t>
            </w:r>
          </w:p>
        </w:tc>
      </w:tr>
      <w:tr w:rsidR="0042622A" w14:paraId="35012393" w14:textId="77777777" w:rsidTr="0042622A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2D82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D51A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3078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4641" w14:textId="77777777" w:rsidR="0042622A" w:rsidRDefault="0042622A" w:rsidP="0042622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07BE90D4" w14:textId="77777777" w:rsidR="0042622A" w:rsidRDefault="0042622A" w:rsidP="0042622A">
      <w:pPr>
        <w:rPr>
          <w:rFonts w:eastAsia="Times New Roman" w:cs="Calibri"/>
          <w:lang w:eastAsia="en-GB"/>
        </w:rPr>
      </w:pPr>
      <w:r>
        <w:rPr>
          <w:rFonts w:eastAsia="Times New Roman"/>
          <w:lang w:eastAsia="en-GB"/>
        </w:rPr>
        <w:t>1 . Data is based on the date reported to the Procurator Fiscal.</w:t>
      </w:r>
    </w:p>
    <w:p w14:paraId="34C6C100" w14:textId="77777777" w:rsidR="0042622A" w:rsidRDefault="0042622A" w:rsidP="0042622A">
      <w:r>
        <w:t>2 . Subject officers are counted once per case. It is possible for the same individual officer to be attached to multiple cases.  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E024" w14:textId="77777777" w:rsidR="00012BEF" w:rsidRDefault="00012BEF" w:rsidP="00491644">
      <w:r>
        <w:separator/>
      </w:r>
    </w:p>
  </w:endnote>
  <w:endnote w:type="continuationSeparator" w:id="0">
    <w:p w14:paraId="62335E60" w14:textId="77777777" w:rsidR="00012BEF" w:rsidRDefault="00012BEF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A4C71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23837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A4E42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EB6D" w14:textId="77777777" w:rsidR="00012BEF" w:rsidRDefault="00012BEF" w:rsidP="00491644">
      <w:r>
        <w:separator/>
      </w:r>
    </w:p>
  </w:footnote>
  <w:footnote w:type="continuationSeparator" w:id="0">
    <w:p w14:paraId="12DB72B1" w14:textId="77777777" w:rsidR="00012BEF" w:rsidRDefault="00012BEF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A57D3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7CDD8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4C317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BEF"/>
    <w:rsid w:val="000632A2"/>
    <w:rsid w:val="00090F3B"/>
    <w:rsid w:val="000A552B"/>
    <w:rsid w:val="000E1D8F"/>
    <w:rsid w:val="000E6526"/>
    <w:rsid w:val="00106C13"/>
    <w:rsid w:val="0011137F"/>
    <w:rsid w:val="00141533"/>
    <w:rsid w:val="00167528"/>
    <w:rsid w:val="00184E84"/>
    <w:rsid w:val="00195CC4"/>
    <w:rsid w:val="00201EA3"/>
    <w:rsid w:val="00222BBA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2622A"/>
    <w:rsid w:val="004341F0"/>
    <w:rsid w:val="0043796F"/>
    <w:rsid w:val="00456324"/>
    <w:rsid w:val="00470F59"/>
    <w:rsid w:val="00475460"/>
    <w:rsid w:val="00476421"/>
    <w:rsid w:val="00490317"/>
    <w:rsid w:val="00491644"/>
    <w:rsid w:val="00492BBD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9540C"/>
    <w:rsid w:val="006B7DCB"/>
    <w:rsid w:val="006E46D8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8D7EC4"/>
    <w:rsid w:val="009363C7"/>
    <w:rsid w:val="0096318D"/>
    <w:rsid w:val="009631A4"/>
    <w:rsid w:val="00977296"/>
    <w:rsid w:val="009B18EB"/>
    <w:rsid w:val="009E6113"/>
    <w:rsid w:val="009F5744"/>
    <w:rsid w:val="00A25E93"/>
    <w:rsid w:val="00A320FF"/>
    <w:rsid w:val="00A648A5"/>
    <w:rsid w:val="00A67541"/>
    <w:rsid w:val="00A70AC0"/>
    <w:rsid w:val="00A755F9"/>
    <w:rsid w:val="00AC0E57"/>
    <w:rsid w:val="00AC443C"/>
    <w:rsid w:val="00AD2663"/>
    <w:rsid w:val="00AD75EC"/>
    <w:rsid w:val="00AF20E1"/>
    <w:rsid w:val="00AF2D35"/>
    <w:rsid w:val="00B11A55"/>
    <w:rsid w:val="00B17211"/>
    <w:rsid w:val="00B239DF"/>
    <w:rsid w:val="00B461B2"/>
    <w:rsid w:val="00B70FEB"/>
    <w:rsid w:val="00B71B3C"/>
    <w:rsid w:val="00B834DC"/>
    <w:rsid w:val="00BA2F48"/>
    <w:rsid w:val="00BC389E"/>
    <w:rsid w:val="00BE60AF"/>
    <w:rsid w:val="00BF6B81"/>
    <w:rsid w:val="00C077A8"/>
    <w:rsid w:val="00C34A21"/>
    <w:rsid w:val="00C56BF3"/>
    <w:rsid w:val="00C606A2"/>
    <w:rsid w:val="00C63872"/>
    <w:rsid w:val="00C779C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335D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2025-01-07T14:08:00Z</cp:lastPrinted>
  <dcterms:created xsi:type="dcterms:W3CDTF">2024-12-18T11:06:00Z</dcterms:created>
  <dcterms:modified xsi:type="dcterms:W3CDTF">2025-01-07T14:09:00Z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