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E2452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B4725">
              <w:t>1999</w:t>
            </w:r>
          </w:p>
          <w:p w14:paraId="3F5C4352" w14:textId="1E1CD84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4725">
              <w:t>20</w:t>
            </w:r>
            <w:r w:rsidR="009B4725" w:rsidRPr="009B4725">
              <w:rPr>
                <w:vertAlign w:val="superscript"/>
              </w:rPr>
              <w:t>th</w:t>
            </w:r>
            <w:r w:rsidR="009B4725">
              <w:t xml:space="preserve"> 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2B08173B" w:rsidR="00A90D1B" w:rsidRDefault="009B4725" w:rsidP="00793DD5">
      <w:r>
        <w:t xml:space="preserve">If your granddaughter is under the age of 12, providing that you are her legal guardian, you can submit a Subject Access Request at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AB20E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98A21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F309E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2B2329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09A0B6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EF04C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7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07CF2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4725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2024-08-20T09:05:00Z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