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34C04D6" w:rsidR="00B17211" w:rsidRPr="00B17211" w:rsidRDefault="00B17211" w:rsidP="007F490F">
            <w:r w:rsidRPr="007F490F">
              <w:rPr>
                <w:rStyle w:val="Heading2Char"/>
              </w:rPr>
              <w:t>Our reference:</w:t>
            </w:r>
            <w:r>
              <w:t xml:space="preserve">  FOI 2</w:t>
            </w:r>
            <w:r w:rsidR="00B654B6">
              <w:t>4</w:t>
            </w:r>
            <w:r>
              <w:t>-</w:t>
            </w:r>
            <w:r w:rsidR="00B15656">
              <w:t>2958</w:t>
            </w:r>
          </w:p>
          <w:p w14:paraId="34BDABA6" w14:textId="4687B822" w:rsidR="00B17211" w:rsidRDefault="00456324" w:rsidP="00EE2373">
            <w:r w:rsidRPr="007F490F">
              <w:rPr>
                <w:rStyle w:val="Heading2Char"/>
              </w:rPr>
              <w:t>Respon</w:t>
            </w:r>
            <w:r w:rsidR="007D55F6">
              <w:rPr>
                <w:rStyle w:val="Heading2Char"/>
              </w:rPr>
              <w:t>ded to:</w:t>
            </w:r>
            <w:r w:rsidR="007F490F">
              <w:t xml:space="preserve">  </w:t>
            </w:r>
            <w:r w:rsidR="005C6D7D">
              <w:t>17</w:t>
            </w:r>
            <w:r w:rsidR="006D5799">
              <w:t xml:space="preserve"> </w:t>
            </w:r>
            <w:r w:rsidR="0060183F">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A6A04E4" w14:textId="77777777" w:rsidR="000254D1" w:rsidRDefault="00B15656" w:rsidP="00171302">
      <w:pPr>
        <w:tabs>
          <w:tab w:val="left" w:pos="5400"/>
        </w:tabs>
        <w:rPr>
          <w:rFonts w:eastAsiaTheme="majorEastAsia" w:cstheme="majorBidi"/>
          <w:b/>
          <w:color w:val="000000" w:themeColor="text1"/>
          <w:szCs w:val="26"/>
        </w:rPr>
      </w:pPr>
      <w:r w:rsidRPr="00B15656">
        <w:rPr>
          <w:rFonts w:eastAsiaTheme="majorEastAsia" w:cstheme="majorBidi"/>
          <w:b/>
          <w:color w:val="000000" w:themeColor="text1"/>
          <w:szCs w:val="26"/>
        </w:rPr>
        <w:t>Please provide the following information regarding Greenock Police Station:</w:t>
      </w:r>
    </w:p>
    <w:p w14:paraId="1CD84EA8" w14:textId="71F32196" w:rsidR="00171302" w:rsidRDefault="00B15656" w:rsidP="00171302">
      <w:pPr>
        <w:tabs>
          <w:tab w:val="left" w:pos="5400"/>
        </w:tabs>
        <w:rPr>
          <w:rFonts w:eastAsiaTheme="majorEastAsia" w:cstheme="majorBidi"/>
          <w:b/>
          <w:color w:val="000000" w:themeColor="text1"/>
          <w:szCs w:val="26"/>
        </w:rPr>
      </w:pPr>
      <w:r w:rsidRPr="00B15656">
        <w:rPr>
          <w:rFonts w:eastAsiaTheme="majorEastAsia" w:cstheme="majorBidi"/>
          <w:b/>
          <w:color w:val="000000" w:themeColor="text1"/>
          <w:szCs w:val="26"/>
        </w:rPr>
        <w:t>Please provide a breakdown of the money spent in 2024 Money spent on building refers to repairs and renovation and maintenance.</w:t>
      </w:r>
      <w:r w:rsidRPr="00B15656">
        <w:rPr>
          <w:rFonts w:eastAsiaTheme="majorEastAsia" w:cstheme="majorBidi"/>
          <w:b/>
          <w:color w:val="000000" w:themeColor="text1"/>
          <w:szCs w:val="26"/>
        </w:rPr>
        <w:br/>
      </w:r>
      <w:r w:rsidR="00171302" w:rsidRPr="00171302">
        <w:rPr>
          <w:rFonts w:eastAsiaTheme="majorEastAsia" w:cstheme="majorBidi"/>
          <w:bCs/>
          <w:color w:val="000000" w:themeColor="text1"/>
          <w:szCs w:val="26"/>
        </w:rPr>
        <w:t>So far</w:t>
      </w:r>
      <w:r w:rsidR="000254D1">
        <w:rPr>
          <w:rFonts w:eastAsiaTheme="majorEastAsia" w:cstheme="majorBidi"/>
          <w:bCs/>
          <w:color w:val="000000" w:themeColor="text1"/>
          <w:szCs w:val="26"/>
        </w:rPr>
        <w:t>,</w:t>
      </w:r>
      <w:r w:rsidR="00171302" w:rsidRPr="00171302">
        <w:rPr>
          <w:rFonts w:eastAsiaTheme="majorEastAsia" w:cstheme="majorBidi"/>
          <w:bCs/>
          <w:color w:val="000000" w:themeColor="text1"/>
          <w:szCs w:val="26"/>
        </w:rPr>
        <w:t xml:space="preserve"> in financial year 2024/25</w:t>
      </w:r>
      <w:r w:rsidR="000254D1">
        <w:rPr>
          <w:rFonts w:eastAsiaTheme="majorEastAsia" w:cstheme="majorBidi"/>
          <w:bCs/>
          <w:color w:val="000000" w:themeColor="text1"/>
          <w:szCs w:val="26"/>
        </w:rPr>
        <w:t>,</w:t>
      </w:r>
      <w:r w:rsidR="00171302" w:rsidRPr="00171302">
        <w:rPr>
          <w:rFonts w:eastAsiaTheme="majorEastAsia" w:cstheme="majorBidi"/>
          <w:bCs/>
          <w:color w:val="000000" w:themeColor="text1"/>
          <w:szCs w:val="26"/>
        </w:rPr>
        <w:t xml:space="preserve"> £116,242.42 has been spent on repairs, renovation and maintenance at Greenock Police Station.</w:t>
      </w:r>
    </w:p>
    <w:p w14:paraId="33F62E48" w14:textId="77777777" w:rsidR="00171302" w:rsidRDefault="00171302" w:rsidP="00171302">
      <w:pPr>
        <w:tabs>
          <w:tab w:val="left" w:pos="5400"/>
        </w:tabs>
        <w:rPr>
          <w:rFonts w:eastAsiaTheme="majorEastAsia" w:cstheme="majorBidi"/>
          <w:bCs/>
          <w:color w:val="000000" w:themeColor="text1"/>
          <w:szCs w:val="26"/>
        </w:rPr>
      </w:pPr>
      <w:r w:rsidRPr="00171302">
        <w:rPr>
          <w:rFonts w:eastAsiaTheme="majorEastAsia" w:cstheme="majorBidi"/>
          <w:bCs/>
          <w:color w:val="000000" w:themeColor="text1"/>
          <w:szCs w:val="26"/>
        </w:rPr>
        <w:t>This is broken down into reactive repairs and planned preventative maintenance (PPM) as below:</w:t>
      </w:r>
    </w:p>
    <w:p w14:paraId="66A36423" w14:textId="7C291D88" w:rsidR="007F4B0A" w:rsidRPr="007F4B0A" w:rsidRDefault="007F4B0A" w:rsidP="00171302">
      <w:pPr>
        <w:tabs>
          <w:tab w:val="left" w:pos="5400"/>
        </w:tabs>
        <w:rPr>
          <w:rFonts w:eastAsiaTheme="majorEastAsia" w:cstheme="majorBidi"/>
          <w:bCs/>
          <w:i/>
          <w:iCs/>
          <w:color w:val="000000" w:themeColor="text1"/>
          <w:szCs w:val="26"/>
        </w:rPr>
      </w:pPr>
      <w:r w:rsidRPr="007F4B0A">
        <w:rPr>
          <w:rFonts w:eastAsiaTheme="majorEastAsia" w:cstheme="majorBidi"/>
          <w:bCs/>
          <w:i/>
          <w:iCs/>
          <w:color w:val="000000" w:themeColor="text1"/>
          <w:szCs w:val="26"/>
        </w:rPr>
        <w:t>Table 1 – Repairs, renovation and maintenance costs – Greenock Police Station – 2024/25</w:t>
      </w:r>
    </w:p>
    <w:tbl>
      <w:tblPr>
        <w:tblStyle w:val="TableGrid"/>
        <w:tblW w:w="7979" w:type="dxa"/>
        <w:tblLook w:val="04A0" w:firstRow="1" w:lastRow="0" w:firstColumn="1" w:lastColumn="0" w:noHBand="0" w:noVBand="1"/>
        <w:tblCaption w:val="Table 1 – Repairs, renovation and maintenance costs – Greenock Police Station – 2024/25"/>
        <w:tblDescription w:val="Table 1 – Repairs, renovation and maintenance costs – Greenock Police Station – 2024/25"/>
      </w:tblPr>
      <w:tblGrid>
        <w:gridCol w:w="1898"/>
        <w:gridCol w:w="2284"/>
        <w:gridCol w:w="1898"/>
        <w:gridCol w:w="1899"/>
      </w:tblGrid>
      <w:tr w:rsidR="00171302" w:rsidRPr="00557306" w14:paraId="6B7DF32D" w14:textId="77777777" w:rsidTr="00171302">
        <w:trPr>
          <w:tblHeader/>
        </w:trPr>
        <w:tc>
          <w:tcPr>
            <w:tcW w:w="1898" w:type="dxa"/>
            <w:shd w:val="clear" w:color="auto" w:fill="D9D9D9" w:themeFill="background1" w:themeFillShade="D9"/>
          </w:tcPr>
          <w:p w14:paraId="065A4F82" w14:textId="18238427" w:rsidR="00171302" w:rsidRPr="00557306" w:rsidRDefault="00171302" w:rsidP="005E4A60">
            <w:pPr>
              <w:spacing w:line="276" w:lineRule="auto"/>
              <w:rPr>
                <w:b/>
              </w:rPr>
            </w:pPr>
          </w:p>
        </w:tc>
        <w:tc>
          <w:tcPr>
            <w:tcW w:w="2284" w:type="dxa"/>
            <w:shd w:val="clear" w:color="auto" w:fill="D9D9D9" w:themeFill="background1" w:themeFillShade="D9"/>
          </w:tcPr>
          <w:p w14:paraId="51A8EF6A" w14:textId="4EF9FDDE" w:rsidR="00171302" w:rsidRPr="00557306" w:rsidRDefault="00171302" w:rsidP="00171302">
            <w:pPr>
              <w:spacing w:line="276" w:lineRule="auto"/>
              <w:jc w:val="center"/>
              <w:rPr>
                <w:b/>
              </w:rPr>
            </w:pPr>
            <w:r>
              <w:rPr>
                <w:b/>
              </w:rPr>
              <w:t>Reactive Repairs</w:t>
            </w:r>
          </w:p>
        </w:tc>
        <w:tc>
          <w:tcPr>
            <w:tcW w:w="1898" w:type="dxa"/>
            <w:shd w:val="clear" w:color="auto" w:fill="D9D9D9" w:themeFill="background1" w:themeFillShade="D9"/>
          </w:tcPr>
          <w:p w14:paraId="58F59065" w14:textId="34EC91BA" w:rsidR="00171302" w:rsidRPr="00557306" w:rsidRDefault="00171302" w:rsidP="00171302">
            <w:pPr>
              <w:spacing w:line="276" w:lineRule="auto"/>
              <w:jc w:val="center"/>
              <w:rPr>
                <w:b/>
              </w:rPr>
            </w:pPr>
            <w:r>
              <w:rPr>
                <w:b/>
              </w:rPr>
              <w:t>PPM</w:t>
            </w:r>
          </w:p>
        </w:tc>
        <w:tc>
          <w:tcPr>
            <w:tcW w:w="1899" w:type="dxa"/>
            <w:shd w:val="clear" w:color="auto" w:fill="D9D9D9" w:themeFill="background1" w:themeFillShade="D9"/>
          </w:tcPr>
          <w:p w14:paraId="5FB15931" w14:textId="054B6A4D" w:rsidR="00171302" w:rsidRPr="00557306" w:rsidRDefault="00171302" w:rsidP="00171302">
            <w:pPr>
              <w:spacing w:line="276" w:lineRule="auto"/>
              <w:jc w:val="center"/>
              <w:rPr>
                <w:b/>
              </w:rPr>
            </w:pPr>
            <w:r>
              <w:rPr>
                <w:b/>
              </w:rPr>
              <w:t>Total</w:t>
            </w:r>
          </w:p>
        </w:tc>
      </w:tr>
      <w:tr w:rsidR="00171302" w14:paraId="645B3C9F" w14:textId="77777777" w:rsidTr="00171302">
        <w:tc>
          <w:tcPr>
            <w:tcW w:w="1898" w:type="dxa"/>
          </w:tcPr>
          <w:p w14:paraId="59E6EC86" w14:textId="1EB80ACE" w:rsidR="00171302" w:rsidRDefault="00171302" w:rsidP="005E4A60">
            <w:pPr>
              <w:tabs>
                <w:tab w:val="left" w:pos="5400"/>
              </w:tabs>
              <w:spacing w:line="276" w:lineRule="auto"/>
            </w:pPr>
            <w:r>
              <w:t xml:space="preserve">Cost </w:t>
            </w:r>
          </w:p>
        </w:tc>
        <w:tc>
          <w:tcPr>
            <w:tcW w:w="2284" w:type="dxa"/>
          </w:tcPr>
          <w:p w14:paraId="0B0CAF2B" w14:textId="63FBBC75" w:rsidR="00171302" w:rsidRDefault="00171302" w:rsidP="00171302">
            <w:pPr>
              <w:tabs>
                <w:tab w:val="left" w:pos="5400"/>
              </w:tabs>
              <w:spacing w:line="276" w:lineRule="auto"/>
              <w:jc w:val="right"/>
            </w:pPr>
            <w:r>
              <w:t>£86,703.82</w:t>
            </w:r>
          </w:p>
        </w:tc>
        <w:tc>
          <w:tcPr>
            <w:tcW w:w="1898" w:type="dxa"/>
          </w:tcPr>
          <w:p w14:paraId="00A8B9F9" w14:textId="0CC921C9" w:rsidR="00171302" w:rsidRDefault="00171302" w:rsidP="00171302">
            <w:pPr>
              <w:tabs>
                <w:tab w:val="left" w:pos="5400"/>
              </w:tabs>
              <w:spacing w:line="276" w:lineRule="auto"/>
              <w:jc w:val="right"/>
            </w:pPr>
            <w:r>
              <w:t>£29,538.60</w:t>
            </w:r>
          </w:p>
        </w:tc>
        <w:tc>
          <w:tcPr>
            <w:tcW w:w="1899" w:type="dxa"/>
          </w:tcPr>
          <w:p w14:paraId="63F34585" w14:textId="65B92A61" w:rsidR="00171302" w:rsidRDefault="00171302" w:rsidP="00171302">
            <w:pPr>
              <w:tabs>
                <w:tab w:val="left" w:pos="5400"/>
              </w:tabs>
              <w:spacing w:line="276" w:lineRule="auto"/>
              <w:jc w:val="right"/>
            </w:pPr>
            <w:r>
              <w:t>£116,242.42</w:t>
            </w:r>
          </w:p>
        </w:tc>
      </w:tr>
    </w:tbl>
    <w:p w14:paraId="3D71452B" w14:textId="77777777" w:rsidR="00ED35C2" w:rsidRDefault="00B15656" w:rsidP="00171302">
      <w:pPr>
        <w:tabs>
          <w:tab w:val="left" w:pos="5400"/>
        </w:tabs>
        <w:rPr>
          <w:rFonts w:eastAsiaTheme="majorEastAsia" w:cstheme="majorBidi"/>
          <w:b/>
          <w:color w:val="000000" w:themeColor="text1"/>
          <w:szCs w:val="26"/>
        </w:rPr>
      </w:pPr>
      <w:r w:rsidRPr="00B15656">
        <w:rPr>
          <w:rFonts w:eastAsiaTheme="majorEastAsia" w:cstheme="majorBidi"/>
          <w:b/>
          <w:color w:val="000000" w:themeColor="text1"/>
          <w:szCs w:val="26"/>
        </w:rPr>
        <w:br/>
        <w:t>Please also include a spreadsheet that provides any details of repairs, renovation and maintenance in 2024, like you very kindly provided in a previous request (FOI Request 24-0166)</w:t>
      </w:r>
    </w:p>
    <w:p w14:paraId="7ECCFDF6" w14:textId="77777777" w:rsidR="00ED35C2" w:rsidRPr="007F4B0A" w:rsidRDefault="00ED35C2" w:rsidP="00171302">
      <w:pPr>
        <w:tabs>
          <w:tab w:val="left" w:pos="5400"/>
        </w:tabs>
        <w:rPr>
          <w:rFonts w:eastAsiaTheme="majorEastAsia" w:cstheme="majorBidi"/>
          <w:bCs/>
          <w:color w:val="000000" w:themeColor="text1"/>
          <w:szCs w:val="26"/>
        </w:rPr>
      </w:pPr>
      <w:r w:rsidRPr="007F4B0A">
        <w:rPr>
          <w:rFonts w:eastAsiaTheme="majorEastAsia" w:cstheme="majorBidi"/>
          <w:bCs/>
          <w:color w:val="000000" w:themeColor="text1"/>
          <w:szCs w:val="26"/>
        </w:rPr>
        <w:t xml:space="preserve">Table 2 describes the category of building assets which are maintained on a cyclical basis to a prescribed industry standard. </w:t>
      </w:r>
    </w:p>
    <w:p w14:paraId="06644E31" w14:textId="77777777" w:rsidR="00ED35C2" w:rsidRPr="007F4B0A" w:rsidRDefault="00ED35C2" w:rsidP="00171302">
      <w:pPr>
        <w:tabs>
          <w:tab w:val="left" w:pos="5400"/>
        </w:tabs>
        <w:rPr>
          <w:rFonts w:eastAsiaTheme="majorEastAsia" w:cstheme="majorBidi"/>
          <w:bCs/>
          <w:i/>
          <w:iCs/>
          <w:color w:val="000000" w:themeColor="text1"/>
          <w:szCs w:val="26"/>
        </w:rPr>
      </w:pPr>
      <w:r w:rsidRPr="007F4B0A">
        <w:rPr>
          <w:rFonts w:eastAsiaTheme="majorEastAsia" w:cstheme="majorBidi"/>
          <w:bCs/>
          <w:i/>
          <w:iCs/>
          <w:color w:val="000000" w:themeColor="text1"/>
          <w:szCs w:val="26"/>
        </w:rPr>
        <w:t>Table 2 – PPM – Greenock Police Station – 2024/2025</w:t>
      </w:r>
    </w:p>
    <w:tbl>
      <w:tblPr>
        <w:tblStyle w:val="TableGrid"/>
        <w:tblW w:w="5222" w:type="dxa"/>
        <w:tblLook w:val="04A0" w:firstRow="1" w:lastRow="0" w:firstColumn="1" w:lastColumn="0" w:noHBand="0" w:noVBand="1"/>
        <w:tblCaption w:val="Table 2 – PPM – Greenock Police Station – 2024/2025"/>
        <w:tblDescription w:val="Table 2 – PPM – Greenock Police Station – 2024/2025"/>
      </w:tblPr>
      <w:tblGrid>
        <w:gridCol w:w="2938"/>
        <w:gridCol w:w="2284"/>
      </w:tblGrid>
      <w:tr w:rsidR="00ED35C2" w:rsidRPr="00557306" w14:paraId="779B15D1" w14:textId="77777777" w:rsidTr="00ED35C2">
        <w:trPr>
          <w:tblHeader/>
        </w:trPr>
        <w:tc>
          <w:tcPr>
            <w:tcW w:w="2938" w:type="dxa"/>
            <w:shd w:val="clear" w:color="auto" w:fill="D9D9D9" w:themeFill="background1" w:themeFillShade="D9"/>
          </w:tcPr>
          <w:p w14:paraId="511860E7" w14:textId="708727B7" w:rsidR="00ED35C2" w:rsidRPr="00557306" w:rsidRDefault="00ED35C2" w:rsidP="0064500B">
            <w:pPr>
              <w:spacing w:line="276" w:lineRule="auto"/>
              <w:rPr>
                <w:b/>
              </w:rPr>
            </w:pPr>
            <w:r>
              <w:rPr>
                <w:b/>
              </w:rPr>
              <w:t>Category</w:t>
            </w:r>
          </w:p>
        </w:tc>
        <w:tc>
          <w:tcPr>
            <w:tcW w:w="2284" w:type="dxa"/>
            <w:shd w:val="clear" w:color="auto" w:fill="D9D9D9" w:themeFill="background1" w:themeFillShade="D9"/>
          </w:tcPr>
          <w:p w14:paraId="2F4A531D" w14:textId="2385B071" w:rsidR="00ED35C2" w:rsidRPr="00557306" w:rsidRDefault="00ED35C2" w:rsidP="0064500B">
            <w:pPr>
              <w:spacing w:line="276" w:lineRule="auto"/>
              <w:jc w:val="center"/>
              <w:rPr>
                <w:b/>
              </w:rPr>
            </w:pPr>
            <w:r>
              <w:rPr>
                <w:b/>
              </w:rPr>
              <w:t>Annual Cost (£)</w:t>
            </w:r>
          </w:p>
        </w:tc>
      </w:tr>
      <w:tr w:rsidR="00ED35C2" w14:paraId="03164E2C" w14:textId="77777777" w:rsidTr="00ED35C2">
        <w:tc>
          <w:tcPr>
            <w:tcW w:w="2938" w:type="dxa"/>
          </w:tcPr>
          <w:p w14:paraId="13A0D935" w14:textId="71AD56DA" w:rsidR="00ED35C2" w:rsidRDefault="00ED35C2" w:rsidP="0064500B">
            <w:pPr>
              <w:tabs>
                <w:tab w:val="left" w:pos="5400"/>
              </w:tabs>
              <w:spacing w:line="276" w:lineRule="auto"/>
            </w:pPr>
            <w:r>
              <w:t>Generator</w:t>
            </w:r>
          </w:p>
        </w:tc>
        <w:tc>
          <w:tcPr>
            <w:tcW w:w="2284" w:type="dxa"/>
          </w:tcPr>
          <w:p w14:paraId="1CB9777C" w14:textId="529BBB8C" w:rsidR="00ED35C2" w:rsidRDefault="00ED35C2" w:rsidP="0064500B">
            <w:pPr>
              <w:tabs>
                <w:tab w:val="left" w:pos="5400"/>
              </w:tabs>
              <w:spacing w:line="276" w:lineRule="auto"/>
              <w:jc w:val="right"/>
            </w:pPr>
            <w:r>
              <w:t>£514.20</w:t>
            </w:r>
          </w:p>
        </w:tc>
      </w:tr>
      <w:tr w:rsidR="00ED35C2" w14:paraId="7C16985D" w14:textId="77777777" w:rsidTr="00ED35C2">
        <w:tc>
          <w:tcPr>
            <w:tcW w:w="2938" w:type="dxa"/>
          </w:tcPr>
          <w:p w14:paraId="4A2D4858" w14:textId="3E68C9AD" w:rsidR="00ED35C2" w:rsidRDefault="00ED35C2" w:rsidP="0064500B">
            <w:pPr>
              <w:tabs>
                <w:tab w:val="left" w:pos="5400"/>
              </w:tabs>
              <w:spacing w:line="276" w:lineRule="auto"/>
            </w:pPr>
            <w:r>
              <w:t>Electrical General</w:t>
            </w:r>
          </w:p>
        </w:tc>
        <w:tc>
          <w:tcPr>
            <w:tcW w:w="2284" w:type="dxa"/>
          </w:tcPr>
          <w:p w14:paraId="463D2A51" w14:textId="19E2182B" w:rsidR="00ED35C2" w:rsidRDefault="00ED35C2" w:rsidP="0064500B">
            <w:pPr>
              <w:tabs>
                <w:tab w:val="left" w:pos="5400"/>
              </w:tabs>
              <w:spacing w:line="276" w:lineRule="auto"/>
              <w:jc w:val="right"/>
            </w:pPr>
            <w:r>
              <w:t>£1,169.64</w:t>
            </w:r>
          </w:p>
        </w:tc>
      </w:tr>
      <w:tr w:rsidR="00ED35C2" w14:paraId="1D8D0BC6" w14:textId="77777777" w:rsidTr="00ED35C2">
        <w:tc>
          <w:tcPr>
            <w:tcW w:w="2938" w:type="dxa"/>
          </w:tcPr>
          <w:p w14:paraId="09E020CC" w14:textId="5496EC9A" w:rsidR="00ED35C2" w:rsidRDefault="00ED35C2" w:rsidP="0064500B">
            <w:pPr>
              <w:tabs>
                <w:tab w:val="left" w:pos="5400"/>
              </w:tabs>
              <w:spacing w:line="276" w:lineRule="auto"/>
            </w:pPr>
            <w:r>
              <w:t>Lighting Protection</w:t>
            </w:r>
          </w:p>
        </w:tc>
        <w:tc>
          <w:tcPr>
            <w:tcW w:w="2284" w:type="dxa"/>
          </w:tcPr>
          <w:p w14:paraId="7656F312" w14:textId="33995F70" w:rsidR="00ED35C2" w:rsidRDefault="00ED35C2" w:rsidP="0064500B">
            <w:pPr>
              <w:tabs>
                <w:tab w:val="left" w:pos="5400"/>
              </w:tabs>
              <w:spacing w:line="276" w:lineRule="auto"/>
              <w:jc w:val="right"/>
            </w:pPr>
            <w:r>
              <w:t>£112.92</w:t>
            </w:r>
          </w:p>
        </w:tc>
      </w:tr>
      <w:tr w:rsidR="00ED35C2" w14:paraId="290A80CC" w14:textId="77777777" w:rsidTr="00ED35C2">
        <w:tc>
          <w:tcPr>
            <w:tcW w:w="2938" w:type="dxa"/>
          </w:tcPr>
          <w:p w14:paraId="0156B9E1" w14:textId="579BE90E" w:rsidR="00ED35C2" w:rsidRDefault="00ED35C2" w:rsidP="0064500B">
            <w:pPr>
              <w:tabs>
                <w:tab w:val="left" w:pos="5400"/>
              </w:tabs>
              <w:spacing w:line="276" w:lineRule="auto"/>
            </w:pPr>
            <w:r>
              <w:lastRenderedPageBreak/>
              <w:t>Emergency Lighting</w:t>
            </w:r>
          </w:p>
        </w:tc>
        <w:tc>
          <w:tcPr>
            <w:tcW w:w="2284" w:type="dxa"/>
          </w:tcPr>
          <w:p w14:paraId="7725945F" w14:textId="2613A10A" w:rsidR="00ED35C2" w:rsidRDefault="00ED35C2" w:rsidP="0064500B">
            <w:pPr>
              <w:tabs>
                <w:tab w:val="left" w:pos="5400"/>
              </w:tabs>
              <w:spacing w:line="276" w:lineRule="auto"/>
              <w:jc w:val="right"/>
            </w:pPr>
            <w:r>
              <w:t>£822.96</w:t>
            </w:r>
          </w:p>
        </w:tc>
      </w:tr>
      <w:tr w:rsidR="00ED35C2" w14:paraId="2AE9EE39" w14:textId="77777777" w:rsidTr="00ED35C2">
        <w:tc>
          <w:tcPr>
            <w:tcW w:w="2938" w:type="dxa"/>
          </w:tcPr>
          <w:p w14:paraId="01E1ED8F" w14:textId="12A49842" w:rsidR="00ED35C2" w:rsidRDefault="00ED35C2" w:rsidP="0064500B">
            <w:pPr>
              <w:tabs>
                <w:tab w:val="left" w:pos="5400"/>
              </w:tabs>
              <w:spacing w:line="276" w:lineRule="auto"/>
            </w:pPr>
            <w:r>
              <w:t>UPS</w:t>
            </w:r>
          </w:p>
        </w:tc>
        <w:tc>
          <w:tcPr>
            <w:tcW w:w="2284" w:type="dxa"/>
          </w:tcPr>
          <w:p w14:paraId="53633FAB" w14:textId="22C14972" w:rsidR="00ED35C2" w:rsidRDefault="00ED35C2" w:rsidP="0064500B">
            <w:pPr>
              <w:tabs>
                <w:tab w:val="left" w:pos="5400"/>
              </w:tabs>
              <w:spacing w:line="276" w:lineRule="auto"/>
              <w:jc w:val="right"/>
            </w:pPr>
            <w:r>
              <w:t>£313.56</w:t>
            </w:r>
          </w:p>
        </w:tc>
      </w:tr>
      <w:tr w:rsidR="00ED35C2" w14:paraId="658D979C" w14:textId="77777777" w:rsidTr="00ED35C2">
        <w:tc>
          <w:tcPr>
            <w:tcW w:w="2938" w:type="dxa"/>
          </w:tcPr>
          <w:p w14:paraId="6B64BD06" w14:textId="7FF7B507" w:rsidR="00ED35C2" w:rsidRDefault="00ED35C2" w:rsidP="0064500B">
            <w:pPr>
              <w:tabs>
                <w:tab w:val="left" w:pos="5400"/>
              </w:tabs>
              <w:spacing w:line="276" w:lineRule="auto"/>
            </w:pPr>
            <w:r>
              <w:t>HVAC</w:t>
            </w:r>
          </w:p>
        </w:tc>
        <w:tc>
          <w:tcPr>
            <w:tcW w:w="2284" w:type="dxa"/>
          </w:tcPr>
          <w:p w14:paraId="12B4717D" w14:textId="23E456CC" w:rsidR="00ED35C2" w:rsidRDefault="00ED35C2" w:rsidP="0064500B">
            <w:pPr>
              <w:tabs>
                <w:tab w:val="left" w:pos="5400"/>
              </w:tabs>
              <w:spacing w:line="276" w:lineRule="auto"/>
              <w:jc w:val="right"/>
            </w:pPr>
            <w:r>
              <w:t>£3,181.20</w:t>
            </w:r>
          </w:p>
        </w:tc>
      </w:tr>
      <w:tr w:rsidR="00ED35C2" w14:paraId="48DB77CC" w14:textId="77777777" w:rsidTr="00ED35C2">
        <w:tc>
          <w:tcPr>
            <w:tcW w:w="2938" w:type="dxa"/>
          </w:tcPr>
          <w:p w14:paraId="03FE1F7B" w14:textId="76A273B5" w:rsidR="00ED35C2" w:rsidRDefault="00ED35C2" w:rsidP="0064500B">
            <w:pPr>
              <w:tabs>
                <w:tab w:val="left" w:pos="5400"/>
              </w:tabs>
              <w:spacing w:line="276" w:lineRule="auto"/>
            </w:pPr>
            <w:r>
              <w:t>BMS</w:t>
            </w:r>
          </w:p>
        </w:tc>
        <w:tc>
          <w:tcPr>
            <w:tcW w:w="2284" w:type="dxa"/>
          </w:tcPr>
          <w:p w14:paraId="470A6310" w14:textId="4D78D70A" w:rsidR="00ED35C2" w:rsidRDefault="00ED35C2" w:rsidP="0064500B">
            <w:pPr>
              <w:tabs>
                <w:tab w:val="left" w:pos="5400"/>
              </w:tabs>
              <w:spacing w:line="276" w:lineRule="auto"/>
              <w:jc w:val="right"/>
            </w:pPr>
            <w:r>
              <w:t>£949.68</w:t>
            </w:r>
          </w:p>
        </w:tc>
      </w:tr>
      <w:tr w:rsidR="00ED35C2" w14:paraId="1A0BEAAC" w14:textId="77777777" w:rsidTr="00ED35C2">
        <w:tc>
          <w:tcPr>
            <w:tcW w:w="2938" w:type="dxa"/>
          </w:tcPr>
          <w:p w14:paraId="268FB5B6" w14:textId="05AC396C" w:rsidR="00ED35C2" w:rsidRDefault="00ED35C2" w:rsidP="0064500B">
            <w:pPr>
              <w:tabs>
                <w:tab w:val="left" w:pos="5400"/>
              </w:tabs>
              <w:spacing w:line="276" w:lineRule="auto"/>
            </w:pPr>
            <w:r>
              <w:t>Fire Alarm</w:t>
            </w:r>
          </w:p>
        </w:tc>
        <w:tc>
          <w:tcPr>
            <w:tcW w:w="2284" w:type="dxa"/>
          </w:tcPr>
          <w:p w14:paraId="723ADBEF" w14:textId="27C6B571" w:rsidR="00ED35C2" w:rsidRDefault="00ED35C2" w:rsidP="0064500B">
            <w:pPr>
              <w:tabs>
                <w:tab w:val="left" w:pos="5400"/>
              </w:tabs>
              <w:spacing w:line="276" w:lineRule="auto"/>
              <w:jc w:val="right"/>
            </w:pPr>
            <w:r>
              <w:t>£1,753.68</w:t>
            </w:r>
          </w:p>
        </w:tc>
      </w:tr>
      <w:tr w:rsidR="00ED35C2" w14:paraId="6DD29234" w14:textId="77777777" w:rsidTr="00ED35C2">
        <w:tc>
          <w:tcPr>
            <w:tcW w:w="2938" w:type="dxa"/>
          </w:tcPr>
          <w:p w14:paraId="563695E2" w14:textId="4591017B" w:rsidR="00ED35C2" w:rsidRDefault="00ED35C2" w:rsidP="0064500B">
            <w:pPr>
              <w:tabs>
                <w:tab w:val="left" w:pos="5400"/>
              </w:tabs>
              <w:spacing w:line="276" w:lineRule="auto"/>
            </w:pPr>
            <w:r>
              <w:t>Fire Fighting</w:t>
            </w:r>
          </w:p>
        </w:tc>
        <w:tc>
          <w:tcPr>
            <w:tcW w:w="2284" w:type="dxa"/>
          </w:tcPr>
          <w:p w14:paraId="0720F14C" w14:textId="27EE874A" w:rsidR="00ED35C2" w:rsidRDefault="00ED35C2" w:rsidP="0064500B">
            <w:pPr>
              <w:tabs>
                <w:tab w:val="left" w:pos="5400"/>
              </w:tabs>
              <w:spacing w:line="276" w:lineRule="auto"/>
              <w:jc w:val="right"/>
            </w:pPr>
            <w:r>
              <w:t>£312.36</w:t>
            </w:r>
          </w:p>
        </w:tc>
      </w:tr>
      <w:tr w:rsidR="00ED35C2" w14:paraId="418DF5BA" w14:textId="77777777" w:rsidTr="00ED35C2">
        <w:tc>
          <w:tcPr>
            <w:tcW w:w="2938" w:type="dxa"/>
          </w:tcPr>
          <w:p w14:paraId="12FBE356" w14:textId="400822CD" w:rsidR="00ED35C2" w:rsidRDefault="00ED35C2" w:rsidP="0064500B">
            <w:pPr>
              <w:tabs>
                <w:tab w:val="left" w:pos="5400"/>
              </w:tabs>
              <w:spacing w:line="276" w:lineRule="auto"/>
            </w:pPr>
            <w:r>
              <w:t>Dry Riser</w:t>
            </w:r>
          </w:p>
        </w:tc>
        <w:tc>
          <w:tcPr>
            <w:tcW w:w="2284" w:type="dxa"/>
          </w:tcPr>
          <w:p w14:paraId="644D09D2" w14:textId="21349C27" w:rsidR="00ED35C2" w:rsidRDefault="00ED35C2" w:rsidP="0064500B">
            <w:pPr>
              <w:tabs>
                <w:tab w:val="left" w:pos="5400"/>
              </w:tabs>
              <w:spacing w:line="276" w:lineRule="auto"/>
              <w:jc w:val="right"/>
            </w:pPr>
            <w:r>
              <w:t>241.20</w:t>
            </w:r>
          </w:p>
        </w:tc>
      </w:tr>
      <w:tr w:rsidR="00ED35C2" w14:paraId="56D9A474" w14:textId="77777777" w:rsidTr="00ED35C2">
        <w:tc>
          <w:tcPr>
            <w:tcW w:w="2938" w:type="dxa"/>
          </w:tcPr>
          <w:p w14:paraId="7E18AA99" w14:textId="37299305" w:rsidR="00ED35C2" w:rsidRDefault="00ED35C2" w:rsidP="0064500B">
            <w:pPr>
              <w:tabs>
                <w:tab w:val="left" w:pos="5400"/>
              </w:tabs>
              <w:spacing w:line="276" w:lineRule="auto"/>
            </w:pPr>
            <w:r>
              <w:t>Intruder</w:t>
            </w:r>
          </w:p>
        </w:tc>
        <w:tc>
          <w:tcPr>
            <w:tcW w:w="2284" w:type="dxa"/>
          </w:tcPr>
          <w:p w14:paraId="13559B1B" w14:textId="3FC54B9A" w:rsidR="00ED35C2" w:rsidRDefault="00ED35C2" w:rsidP="0064500B">
            <w:pPr>
              <w:tabs>
                <w:tab w:val="left" w:pos="5400"/>
              </w:tabs>
              <w:spacing w:line="276" w:lineRule="auto"/>
              <w:jc w:val="right"/>
            </w:pPr>
            <w:r>
              <w:t>£116.28</w:t>
            </w:r>
          </w:p>
        </w:tc>
      </w:tr>
      <w:tr w:rsidR="00ED35C2" w14:paraId="64A9ADED" w14:textId="77777777" w:rsidTr="00ED35C2">
        <w:tc>
          <w:tcPr>
            <w:tcW w:w="2938" w:type="dxa"/>
          </w:tcPr>
          <w:p w14:paraId="7686CF3A" w14:textId="1AD57A60" w:rsidR="00ED35C2" w:rsidRDefault="00ED35C2" w:rsidP="0064500B">
            <w:pPr>
              <w:tabs>
                <w:tab w:val="left" w:pos="5400"/>
              </w:tabs>
              <w:spacing w:line="276" w:lineRule="auto"/>
            </w:pPr>
            <w:r>
              <w:t>Cell Call</w:t>
            </w:r>
          </w:p>
        </w:tc>
        <w:tc>
          <w:tcPr>
            <w:tcW w:w="2284" w:type="dxa"/>
          </w:tcPr>
          <w:p w14:paraId="2CC8E326" w14:textId="45CD84AE" w:rsidR="00ED35C2" w:rsidRDefault="00ED35C2" w:rsidP="0064500B">
            <w:pPr>
              <w:tabs>
                <w:tab w:val="left" w:pos="5400"/>
              </w:tabs>
              <w:spacing w:line="276" w:lineRule="auto"/>
              <w:jc w:val="right"/>
            </w:pPr>
            <w:r>
              <w:t>£663.00</w:t>
            </w:r>
          </w:p>
        </w:tc>
      </w:tr>
      <w:tr w:rsidR="00ED35C2" w14:paraId="23F39358" w14:textId="77777777" w:rsidTr="00ED35C2">
        <w:tc>
          <w:tcPr>
            <w:tcW w:w="2938" w:type="dxa"/>
          </w:tcPr>
          <w:p w14:paraId="29774849" w14:textId="13702321" w:rsidR="00ED35C2" w:rsidRDefault="00ED35C2" w:rsidP="0064500B">
            <w:pPr>
              <w:tabs>
                <w:tab w:val="left" w:pos="5400"/>
              </w:tabs>
              <w:spacing w:line="276" w:lineRule="auto"/>
            </w:pPr>
            <w:r>
              <w:t>CCTV</w:t>
            </w:r>
          </w:p>
        </w:tc>
        <w:tc>
          <w:tcPr>
            <w:tcW w:w="2284" w:type="dxa"/>
          </w:tcPr>
          <w:p w14:paraId="601CF0DC" w14:textId="28856A65" w:rsidR="00ED35C2" w:rsidRDefault="00ED35C2" w:rsidP="0064500B">
            <w:pPr>
              <w:tabs>
                <w:tab w:val="left" w:pos="5400"/>
              </w:tabs>
              <w:spacing w:line="276" w:lineRule="auto"/>
              <w:jc w:val="right"/>
            </w:pPr>
            <w:r>
              <w:t>£4,742.76</w:t>
            </w:r>
          </w:p>
        </w:tc>
      </w:tr>
      <w:tr w:rsidR="00ED35C2" w14:paraId="4B76DC54" w14:textId="77777777" w:rsidTr="00ED35C2">
        <w:tc>
          <w:tcPr>
            <w:tcW w:w="2938" w:type="dxa"/>
          </w:tcPr>
          <w:p w14:paraId="52685C6D" w14:textId="1E824C6C" w:rsidR="00ED35C2" w:rsidRDefault="00ED35C2" w:rsidP="0064500B">
            <w:pPr>
              <w:tabs>
                <w:tab w:val="left" w:pos="5400"/>
              </w:tabs>
              <w:spacing w:line="276" w:lineRule="auto"/>
            </w:pPr>
            <w:r>
              <w:t>Security Cantilever</w:t>
            </w:r>
          </w:p>
        </w:tc>
        <w:tc>
          <w:tcPr>
            <w:tcW w:w="2284" w:type="dxa"/>
          </w:tcPr>
          <w:p w14:paraId="08AEAA0D" w14:textId="286221A9" w:rsidR="00ED35C2" w:rsidRDefault="00ED35C2" w:rsidP="0064500B">
            <w:pPr>
              <w:tabs>
                <w:tab w:val="left" w:pos="5400"/>
              </w:tabs>
              <w:spacing w:line="276" w:lineRule="auto"/>
              <w:jc w:val="right"/>
            </w:pPr>
            <w:r>
              <w:t>£520.56</w:t>
            </w:r>
          </w:p>
        </w:tc>
      </w:tr>
      <w:tr w:rsidR="00ED35C2" w14:paraId="5FB41070" w14:textId="77777777" w:rsidTr="00ED35C2">
        <w:tc>
          <w:tcPr>
            <w:tcW w:w="2938" w:type="dxa"/>
          </w:tcPr>
          <w:p w14:paraId="29EF5217" w14:textId="0C75E27F" w:rsidR="00ED35C2" w:rsidRDefault="00ED35C2" w:rsidP="0064500B">
            <w:pPr>
              <w:tabs>
                <w:tab w:val="left" w:pos="5400"/>
              </w:tabs>
              <w:spacing w:line="276" w:lineRule="auto"/>
            </w:pPr>
            <w:r>
              <w:t>Auto Doors</w:t>
            </w:r>
          </w:p>
        </w:tc>
        <w:tc>
          <w:tcPr>
            <w:tcW w:w="2284" w:type="dxa"/>
          </w:tcPr>
          <w:p w14:paraId="5D2D1272" w14:textId="6659C4A0" w:rsidR="00ED35C2" w:rsidRDefault="00ED35C2" w:rsidP="0064500B">
            <w:pPr>
              <w:tabs>
                <w:tab w:val="left" w:pos="5400"/>
              </w:tabs>
              <w:spacing w:line="276" w:lineRule="auto"/>
              <w:jc w:val="right"/>
            </w:pPr>
            <w:r>
              <w:t>£97.80</w:t>
            </w:r>
          </w:p>
        </w:tc>
      </w:tr>
      <w:tr w:rsidR="00ED35C2" w14:paraId="155D07FB" w14:textId="77777777" w:rsidTr="00ED35C2">
        <w:tc>
          <w:tcPr>
            <w:tcW w:w="2938" w:type="dxa"/>
          </w:tcPr>
          <w:p w14:paraId="19E77B12" w14:textId="4F2C1247" w:rsidR="00ED35C2" w:rsidRDefault="00ED35C2" w:rsidP="0064500B">
            <w:pPr>
              <w:tabs>
                <w:tab w:val="left" w:pos="5400"/>
              </w:tabs>
              <w:spacing w:line="276" w:lineRule="auto"/>
            </w:pPr>
            <w:r>
              <w:t>Roller Shutter</w:t>
            </w:r>
          </w:p>
        </w:tc>
        <w:tc>
          <w:tcPr>
            <w:tcW w:w="2284" w:type="dxa"/>
          </w:tcPr>
          <w:p w14:paraId="606927F8" w14:textId="646062BC" w:rsidR="00ED35C2" w:rsidRDefault="00ED35C2" w:rsidP="0064500B">
            <w:pPr>
              <w:tabs>
                <w:tab w:val="left" w:pos="5400"/>
              </w:tabs>
              <w:spacing w:line="276" w:lineRule="auto"/>
              <w:jc w:val="right"/>
            </w:pPr>
            <w:r>
              <w:t>£501.72</w:t>
            </w:r>
          </w:p>
        </w:tc>
      </w:tr>
      <w:tr w:rsidR="00ED35C2" w14:paraId="180F76CB" w14:textId="77777777" w:rsidTr="00ED35C2">
        <w:tc>
          <w:tcPr>
            <w:tcW w:w="2938" w:type="dxa"/>
          </w:tcPr>
          <w:p w14:paraId="2D07EB52" w14:textId="120B2D69" w:rsidR="00ED35C2" w:rsidRDefault="00ED35C2" w:rsidP="0064500B">
            <w:pPr>
              <w:tabs>
                <w:tab w:val="left" w:pos="5400"/>
              </w:tabs>
              <w:spacing w:line="276" w:lineRule="auto"/>
            </w:pPr>
            <w:r>
              <w:t>L8</w:t>
            </w:r>
          </w:p>
        </w:tc>
        <w:tc>
          <w:tcPr>
            <w:tcW w:w="2284" w:type="dxa"/>
          </w:tcPr>
          <w:p w14:paraId="23DB790A" w14:textId="4B6FD749" w:rsidR="00ED35C2" w:rsidRDefault="00ED35C2" w:rsidP="0064500B">
            <w:pPr>
              <w:tabs>
                <w:tab w:val="left" w:pos="5400"/>
              </w:tabs>
              <w:spacing w:line="276" w:lineRule="auto"/>
              <w:jc w:val="right"/>
            </w:pPr>
            <w:r>
              <w:t>£688.44</w:t>
            </w:r>
          </w:p>
        </w:tc>
      </w:tr>
      <w:tr w:rsidR="00ED35C2" w14:paraId="6BD5DD8E" w14:textId="77777777" w:rsidTr="00ED35C2">
        <w:tc>
          <w:tcPr>
            <w:tcW w:w="2938" w:type="dxa"/>
          </w:tcPr>
          <w:p w14:paraId="244D0BE9" w14:textId="1363C17B" w:rsidR="00ED35C2" w:rsidRDefault="00ED35C2" w:rsidP="0064500B">
            <w:pPr>
              <w:tabs>
                <w:tab w:val="left" w:pos="5400"/>
              </w:tabs>
              <w:spacing w:line="276" w:lineRule="auto"/>
            </w:pPr>
            <w:r>
              <w:t>Lifts</w:t>
            </w:r>
          </w:p>
        </w:tc>
        <w:tc>
          <w:tcPr>
            <w:tcW w:w="2284" w:type="dxa"/>
          </w:tcPr>
          <w:p w14:paraId="3ACEAC08" w14:textId="4F2E15CC" w:rsidR="00ED35C2" w:rsidRDefault="00ED35C2" w:rsidP="0064500B">
            <w:pPr>
              <w:tabs>
                <w:tab w:val="left" w:pos="5400"/>
              </w:tabs>
              <w:spacing w:line="276" w:lineRule="auto"/>
              <w:jc w:val="right"/>
            </w:pPr>
            <w:r>
              <w:t>£526.80</w:t>
            </w:r>
          </w:p>
        </w:tc>
      </w:tr>
      <w:tr w:rsidR="00ED35C2" w14:paraId="1629BED7" w14:textId="77777777" w:rsidTr="00ED35C2">
        <w:tc>
          <w:tcPr>
            <w:tcW w:w="2938" w:type="dxa"/>
          </w:tcPr>
          <w:p w14:paraId="06A17871" w14:textId="1F411854" w:rsidR="00ED35C2" w:rsidRDefault="00ED35C2" w:rsidP="0064500B">
            <w:pPr>
              <w:tabs>
                <w:tab w:val="left" w:pos="5400"/>
              </w:tabs>
              <w:spacing w:line="276" w:lineRule="auto"/>
            </w:pPr>
            <w:r>
              <w:t>Fall Restraint/Edge</w:t>
            </w:r>
          </w:p>
        </w:tc>
        <w:tc>
          <w:tcPr>
            <w:tcW w:w="2284" w:type="dxa"/>
          </w:tcPr>
          <w:p w14:paraId="7B96313B" w14:textId="23A8F340" w:rsidR="00ED35C2" w:rsidRDefault="00ED35C2" w:rsidP="0064500B">
            <w:pPr>
              <w:tabs>
                <w:tab w:val="left" w:pos="5400"/>
              </w:tabs>
              <w:spacing w:line="276" w:lineRule="auto"/>
              <w:jc w:val="right"/>
            </w:pPr>
            <w:r>
              <w:t>£194.40</w:t>
            </w:r>
          </w:p>
        </w:tc>
      </w:tr>
      <w:tr w:rsidR="00ED35C2" w14:paraId="4400ACB4" w14:textId="77777777" w:rsidTr="00ED35C2">
        <w:tc>
          <w:tcPr>
            <w:tcW w:w="2938" w:type="dxa"/>
          </w:tcPr>
          <w:p w14:paraId="5A8AE9F0" w14:textId="6B3077EF" w:rsidR="00ED35C2" w:rsidRDefault="00ED35C2" w:rsidP="0064500B">
            <w:pPr>
              <w:tabs>
                <w:tab w:val="left" w:pos="5400"/>
              </w:tabs>
              <w:spacing w:line="276" w:lineRule="auto"/>
            </w:pPr>
            <w:r>
              <w:t>Fixed Ladder</w:t>
            </w:r>
          </w:p>
        </w:tc>
        <w:tc>
          <w:tcPr>
            <w:tcW w:w="2284" w:type="dxa"/>
          </w:tcPr>
          <w:p w14:paraId="1E3D7FFF" w14:textId="4E932A5B" w:rsidR="00ED35C2" w:rsidRDefault="00ED35C2" w:rsidP="0064500B">
            <w:pPr>
              <w:tabs>
                <w:tab w:val="left" w:pos="5400"/>
              </w:tabs>
              <w:spacing w:line="276" w:lineRule="auto"/>
              <w:jc w:val="right"/>
            </w:pPr>
            <w:r>
              <w:t>£43.92</w:t>
            </w:r>
          </w:p>
        </w:tc>
      </w:tr>
      <w:tr w:rsidR="00ED35C2" w14:paraId="5E9B214E" w14:textId="77777777" w:rsidTr="00ED35C2">
        <w:tc>
          <w:tcPr>
            <w:tcW w:w="2938" w:type="dxa"/>
          </w:tcPr>
          <w:p w14:paraId="68EE5F90" w14:textId="48C43FD3" w:rsidR="00ED35C2" w:rsidRDefault="00ED35C2" w:rsidP="0064500B">
            <w:pPr>
              <w:tabs>
                <w:tab w:val="left" w:pos="5400"/>
              </w:tabs>
              <w:spacing w:line="276" w:lineRule="auto"/>
            </w:pPr>
            <w:r>
              <w:t>EVAC</w:t>
            </w:r>
          </w:p>
        </w:tc>
        <w:tc>
          <w:tcPr>
            <w:tcW w:w="2284" w:type="dxa"/>
          </w:tcPr>
          <w:p w14:paraId="1BD4FFEA" w14:textId="6BCB75F1" w:rsidR="00ED35C2" w:rsidRDefault="007F4B0A" w:rsidP="0064500B">
            <w:pPr>
              <w:tabs>
                <w:tab w:val="left" w:pos="5400"/>
              </w:tabs>
              <w:spacing w:line="276" w:lineRule="auto"/>
              <w:jc w:val="right"/>
            </w:pPr>
            <w:r>
              <w:t>£</w:t>
            </w:r>
            <w:r w:rsidR="00ED35C2">
              <w:t>250.80</w:t>
            </w:r>
          </w:p>
        </w:tc>
      </w:tr>
      <w:tr w:rsidR="00ED35C2" w14:paraId="72438EA6" w14:textId="77777777" w:rsidTr="00ED35C2">
        <w:tc>
          <w:tcPr>
            <w:tcW w:w="2938" w:type="dxa"/>
          </w:tcPr>
          <w:p w14:paraId="00599C4F" w14:textId="1168B828" w:rsidR="00ED35C2" w:rsidRDefault="00ED35C2" w:rsidP="0064500B">
            <w:pPr>
              <w:tabs>
                <w:tab w:val="left" w:pos="5400"/>
              </w:tabs>
              <w:spacing w:line="276" w:lineRule="auto"/>
            </w:pPr>
            <w:r>
              <w:t>Fuel Oil Interceptors</w:t>
            </w:r>
          </w:p>
        </w:tc>
        <w:tc>
          <w:tcPr>
            <w:tcW w:w="2284" w:type="dxa"/>
          </w:tcPr>
          <w:p w14:paraId="08CE368E" w14:textId="1B578D54" w:rsidR="00ED35C2" w:rsidRDefault="00ED35C2" w:rsidP="0064500B">
            <w:pPr>
              <w:tabs>
                <w:tab w:val="left" w:pos="5400"/>
              </w:tabs>
              <w:spacing w:line="276" w:lineRule="auto"/>
              <w:jc w:val="right"/>
            </w:pPr>
            <w:r>
              <w:t>£438.96</w:t>
            </w:r>
          </w:p>
        </w:tc>
      </w:tr>
      <w:tr w:rsidR="00ED35C2" w14:paraId="46DA9FD5" w14:textId="77777777" w:rsidTr="00ED35C2">
        <w:tc>
          <w:tcPr>
            <w:tcW w:w="2938" w:type="dxa"/>
          </w:tcPr>
          <w:p w14:paraId="24C4632D" w14:textId="554264E4" w:rsidR="00ED35C2" w:rsidRDefault="00ED35C2" w:rsidP="0064500B">
            <w:pPr>
              <w:tabs>
                <w:tab w:val="left" w:pos="5400"/>
              </w:tabs>
              <w:spacing w:line="276" w:lineRule="auto"/>
            </w:pPr>
            <w:r>
              <w:t>Generator Mains Failure</w:t>
            </w:r>
          </w:p>
        </w:tc>
        <w:tc>
          <w:tcPr>
            <w:tcW w:w="2284" w:type="dxa"/>
          </w:tcPr>
          <w:p w14:paraId="1D1D8C58" w14:textId="6624CFC7" w:rsidR="00ED35C2" w:rsidRDefault="00ED35C2" w:rsidP="0064500B">
            <w:pPr>
              <w:tabs>
                <w:tab w:val="left" w:pos="5400"/>
              </w:tabs>
              <w:spacing w:line="276" w:lineRule="auto"/>
              <w:jc w:val="right"/>
            </w:pPr>
            <w:r>
              <w:t>£125.40</w:t>
            </w:r>
          </w:p>
        </w:tc>
      </w:tr>
      <w:tr w:rsidR="00ED35C2" w14:paraId="3599E409" w14:textId="77777777" w:rsidTr="00ED35C2">
        <w:tc>
          <w:tcPr>
            <w:tcW w:w="2938" w:type="dxa"/>
          </w:tcPr>
          <w:p w14:paraId="4C328D03" w14:textId="14878BBD" w:rsidR="00ED35C2" w:rsidRDefault="00ED35C2" w:rsidP="0064500B">
            <w:pPr>
              <w:tabs>
                <w:tab w:val="left" w:pos="5400"/>
              </w:tabs>
              <w:spacing w:line="276" w:lineRule="auto"/>
            </w:pPr>
            <w:r>
              <w:t>Cell Door Hatch &amp; Lock</w:t>
            </w:r>
          </w:p>
        </w:tc>
        <w:tc>
          <w:tcPr>
            <w:tcW w:w="2284" w:type="dxa"/>
          </w:tcPr>
          <w:p w14:paraId="4A5895BD" w14:textId="598F4E10" w:rsidR="00ED35C2" w:rsidRDefault="00ED35C2" w:rsidP="0064500B">
            <w:pPr>
              <w:tabs>
                <w:tab w:val="left" w:pos="5400"/>
              </w:tabs>
              <w:spacing w:line="276" w:lineRule="auto"/>
              <w:jc w:val="right"/>
            </w:pPr>
            <w:r>
              <w:t>£2,626.44</w:t>
            </w:r>
          </w:p>
        </w:tc>
      </w:tr>
      <w:tr w:rsidR="00ED35C2" w14:paraId="454DA056" w14:textId="77777777" w:rsidTr="00ED35C2">
        <w:tc>
          <w:tcPr>
            <w:tcW w:w="2938" w:type="dxa"/>
          </w:tcPr>
          <w:p w14:paraId="6BCDEADC" w14:textId="28ADA3F9" w:rsidR="00ED35C2" w:rsidRDefault="00ED35C2" w:rsidP="0064500B">
            <w:pPr>
              <w:tabs>
                <w:tab w:val="left" w:pos="5400"/>
              </w:tabs>
              <w:spacing w:line="276" w:lineRule="auto"/>
            </w:pPr>
            <w:r>
              <w:t>Fabric Inspections</w:t>
            </w:r>
          </w:p>
        </w:tc>
        <w:tc>
          <w:tcPr>
            <w:tcW w:w="2284" w:type="dxa"/>
          </w:tcPr>
          <w:p w14:paraId="55B7DF99" w14:textId="75905942" w:rsidR="00ED35C2" w:rsidRDefault="00ED35C2" w:rsidP="0064500B">
            <w:pPr>
              <w:tabs>
                <w:tab w:val="left" w:pos="5400"/>
              </w:tabs>
              <w:spacing w:line="276" w:lineRule="auto"/>
              <w:jc w:val="right"/>
            </w:pPr>
            <w:r>
              <w:t>£412.68</w:t>
            </w:r>
          </w:p>
        </w:tc>
      </w:tr>
      <w:tr w:rsidR="00ED35C2" w14:paraId="09740E7E" w14:textId="77777777" w:rsidTr="00ED35C2">
        <w:tc>
          <w:tcPr>
            <w:tcW w:w="2938" w:type="dxa"/>
          </w:tcPr>
          <w:p w14:paraId="0183FB0C" w14:textId="396DEEAD" w:rsidR="00ED35C2" w:rsidRDefault="00ED35C2" w:rsidP="0064500B">
            <w:pPr>
              <w:tabs>
                <w:tab w:val="left" w:pos="5400"/>
              </w:tabs>
              <w:spacing w:line="276" w:lineRule="auto"/>
            </w:pPr>
            <w:r>
              <w:t>Roof Inspections</w:t>
            </w:r>
          </w:p>
        </w:tc>
        <w:tc>
          <w:tcPr>
            <w:tcW w:w="2284" w:type="dxa"/>
          </w:tcPr>
          <w:p w14:paraId="3F429BCE" w14:textId="71F85FA0" w:rsidR="00ED35C2" w:rsidRDefault="00ED35C2" w:rsidP="0064500B">
            <w:pPr>
              <w:tabs>
                <w:tab w:val="left" w:pos="5400"/>
              </w:tabs>
              <w:spacing w:line="276" w:lineRule="auto"/>
              <w:jc w:val="right"/>
            </w:pPr>
            <w:r>
              <w:t>£1,661.04</w:t>
            </w:r>
          </w:p>
        </w:tc>
      </w:tr>
      <w:tr w:rsidR="00ED35C2" w14:paraId="16C0F75E" w14:textId="77777777" w:rsidTr="00ED35C2">
        <w:tc>
          <w:tcPr>
            <w:tcW w:w="2938" w:type="dxa"/>
          </w:tcPr>
          <w:p w14:paraId="445CBF08" w14:textId="21A21892" w:rsidR="00ED35C2" w:rsidRDefault="00ED35C2" w:rsidP="0064500B">
            <w:pPr>
              <w:tabs>
                <w:tab w:val="left" w:pos="5400"/>
              </w:tabs>
              <w:spacing w:line="276" w:lineRule="auto"/>
            </w:pPr>
            <w:r>
              <w:t>Rainwater &amp; Drainage</w:t>
            </w:r>
          </w:p>
        </w:tc>
        <w:tc>
          <w:tcPr>
            <w:tcW w:w="2284" w:type="dxa"/>
          </w:tcPr>
          <w:p w14:paraId="351965C8" w14:textId="7D21C448" w:rsidR="00ED35C2" w:rsidRDefault="00ED35C2" w:rsidP="0064500B">
            <w:pPr>
              <w:tabs>
                <w:tab w:val="left" w:pos="5400"/>
              </w:tabs>
              <w:spacing w:line="276" w:lineRule="auto"/>
              <w:jc w:val="right"/>
            </w:pPr>
            <w:r>
              <w:t>£1,661.04</w:t>
            </w:r>
          </w:p>
        </w:tc>
      </w:tr>
      <w:tr w:rsidR="00ED35C2" w14:paraId="1B76D070" w14:textId="77777777" w:rsidTr="00ED35C2">
        <w:tc>
          <w:tcPr>
            <w:tcW w:w="2938" w:type="dxa"/>
          </w:tcPr>
          <w:p w14:paraId="03DE7E8F" w14:textId="551A5B35" w:rsidR="00ED35C2" w:rsidRDefault="00ED35C2" w:rsidP="0064500B">
            <w:pPr>
              <w:tabs>
                <w:tab w:val="left" w:pos="5400"/>
              </w:tabs>
              <w:spacing w:line="276" w:lineRule="auto"/>
            </w:pPr>
            <w:r>
              <w:lastRenderedPageBreak/>
              <w:t>Grounds</w:t>
            </w:r>
          </w:p>
        </w:tc>
        <w:tc>
          <w:tcPr>
            <w:tcW w:w="2284" w:type="dxa"/>
          </w:tcPr>
          <w:p w14:paraId="09A9EA47" w14:textId="063E1359" w:rsidR="00ED35C2" w:rsidRDefault="00ED35C2" w:rsidP="0064500B">
            <w:pPr>
              <w:tabs>
                <w:tab w:val="left" w:pos="5400"/>
              </w:tabs>
              <w:spacing w:line="276" w:lineRule="auto"/>
              <w:jc w:val="right"/>
            </w:pPr>
            <w:r>
              <w:t>£576.96</w:t>
            </w:r>
          </w:p>
        </w:tc>
      </w:tr>
      <w:tr w:rsidR="00ED35C2" w14:paraId="22D8644B" w14:textId="77777777" w:rsidTr="00ED35C2">
        <w:tc>
          <w:tcPr>
            <w:tcW w:w="2938" w:type="dxa"/>
          </w:tcPr>
          <w:p w14:paraId="382711B5" w14:textId="2D078803" w:rsidR="00ED35C2" w:rsidRDefault="00ED35C2" w:rsidP="0064500B">
            <w:pPr>
              <w:tabs>
                <w:tab w:val="left" w:pos="5400"/>
              </w:tabs>
              <w:spacing w:line="276" w:lineRule="auto"/>
            </w:pPr>
            <w:r>
              <w:t>Winter – Reactive</w:t>
            </w:r>
          </w:p>
        </w:tc>
        <w:tc>
          <w:tcPr>
            <w:tcW w:w="2284" w:type="dxa"/>
          </w:tcPr>
          <w:p w14:paraId="4DDF2F5C" w14:textId="149883F6" w:rsidR="00ED35C2" w:rsidRDefault="00ED35C2" w:rsidP="0064500B">
            <w:pPr>
              <w:tabs>
                <w:tab w:val="left" w:pos="5400"/>
              </w:tabs>
              <w:spacing w:line="276" w:lineRule="auto"/>
              <w:jc w:val="right"/>
            </w:pPr>
            <w:r>
              <w:t>£1,889.04</w:t>
            </w:r>
          </w:p>
        </w:tc>
      </w:tr>
      <w:tr w:rsidR="00ED35C2" w14:paraId="253F505E" w14:textId="77777777" w:rsidTr="00ED35C2">
        <w:tc>
          <w:tcPr>
            <w:tcW w:w="2938" w:type="dxa"/>
          </w:tcPr>
          <w:p w14:paraId="628C66F6" w14:textId="7F637868" w:rsidR="00ED35C2" w:rsidRDefault="007F4B0A" w:rsidP="0064500B">
            <w:pPr>
              <w:tabs>
                <w:tab w:val="left" w:pos="5400"/>
              </w:tabs>
              <w:spacing w:line="276" w:lineRule="auto"/>
            </w:pPr>
            <w:r>
              <w:t>G</w:t>
            </w:r>
            <w:r w:rsidR="00ED35C2">
              <w:t>rit Bin</w:t>
            </w:r>
          </w:p>
        </w:tc>
        <w:tc>
          <w:tcPr>
            <w:tcW w:w="2284" w:type="dxa"/>
          </w:tcPr>
          <w:p w14:paraId="3F56E3C7" w14:textId="61B5DA70" w:rsidR="00ED35C2" w:rsidRDefault="007F4B0A" w:rsidP="0064500B">
            <w:pPr>
              <w:tabs>
                <w:tab w:val="left" w:pos="5400"/>
              </w:tabs>
              <w:spacing w:line="276" w:lineRule="auto"/>
              <w:jc w:val="right"/>
            </w:pPr>
            <w:r>
              <w:t>£67.68</w:t>
            </w:r>
          </w:p>
        </w:tc>
      </w:tr>
      <w:tr w:rsidR="00ED35C2" w14:paraId="487CC045" w14:textId="77777777" w:rsidTr="00ED35C2">
        <w:tc>
          <w:tcPr>
            <w:tcW w:w="2938" w:type="dxa"/>
          </w:tcPr>
          <w:p w14:paraId="08FAE085" w14:textId="1E6411CC" w:rsidR="00ED35C2" w:rsidRDefault="00ED35C2" w:rsidP="0064500B">
            <w:pPr>
              <w:tabs>
                <w:tab w:val="left" w:pos="5400"/>
              </w:tabs>
              <w:spacing w:line="276" w:lineRule="auto"/>
            </w:pPr>
            <w:r>
              <w:t>Pest Control</w:t>
            </w:r>
          </w:p>
        </w:tc>
        <w:tc>
          <w:tcPr>
            <w:tcW w:w="2284" w:type="dxa"/>
          </w:tcPr>
          <w:p w14:paraId="1B8414E7" w14:textId="39110BAC" w:rsidR="00ED35C2" w:rsidRDefault="007F4B0A" w:rsidP="0064500B">
            <w:pPr>
              <w:tabs>
                <w:tab w:val="left" w:pos="5400"/>
              </w:tabs>
              <w:spacing w:line="276" w:lineRule="auto"/>
              <w:jc w:val="right"/>
            </w:pPr>
            <w:r>
              <w:t>£644.40</w:t>
            </w:r>
          </w:p>
        </w:tc>
      </w:tr>
      <w:tr w:rsidR="00ED35C2" w14:paraId="04F57D6F" w14:textId="77777777" w:rsidTr="00ED35C2">
        <w:tc>
          <w:tcPr>
            <w:tcW w:w="2938" w:type="dxa"/>
          </w:tcPr>
          <w:p w14:paraId="74E8F985" w14:textId="5D2A6D47" w:rsidR="00ED35C2" w:rsidRDefault="00ED35C2" w:rsidP="0064500B">
            <w:pPr>
              <w:tabs>
                <w:tab w:val="left" w:pos="5400"/>
              </w:tabs>
              <w:spacing w:line="276" w:lineRule="auto"/>
            </w:pPr>
            <w:r>
              <w:t>Asbestos Reinspections</w:t>
            </w:r>
          </w:p>
        </w:tc>
        <w:tc>
          <w:tcPr>
            <w:tcW w:w="2284" w:type="dxa"/>
          </w:tcPr>
          <w:p w14:paraId="28B95715" w14:textId="48BDAF85" w:rsidR="00ED35C2" w:rsidRDefault="007F4B0A" w:rsidP="0064500B">
            <w:pPr>
              <w:tabs>
                <w:tab w:val="left" w:pos="5400"/>
              </w:tabs>
              <w:spacing w:line="276" w:lineRule="auto"/>
              <w:jc w:val="right"/>
            </w:pPr>
            <w:r>
              <w:t>£1,361.76</w:t>
            </w:r>
          </w:p>
        </w:tc>
      </w:tr>
      <w:tr w:rsidR="00ED35C2" w14:paraId="29AA3DA1" w14:textId="77777777" w:rsidTr="00ED35C2">
        <w:tc>
          <w:tcPr>
            <w:tcW w:w="2938" w:type="dxa"/>
          </w:tcPr>
          <w:p w14:paraId="58D9BA3A" w14:textId="71ADE40B" w:rsidR="00ED35C2" w:rsidRDefault="00ED35C2" w:rsidP="0064500B">
            <w:pPr>
              <w:tabs>
                <w:tab w:val="left" w:pos="5400"/>
              </w:tabs>
              <w:spacing w:line="276" w:lineRule="auto"/>
            </w:pPr>
            <w:r>
              <w:t>Fire Risk Assessment</w:t>
            </w:r>
          </w:p>
        </w:tc>
        <w:tc>
          <w:tcPr>
            <w:tcW w:w="2284" w:type="dxa"/>
          </w:tcPr>
          <w:p w14:paraId="33CA3809" w14:textId="6F82EE39" w:rsidR="00ED35C2" w:rsidRDefault="007F4B0A" w:rsidP="0064500B">
            <w:pPr>
              <w:tabs>
                <w:tab w:val="left" w:pos="5400"/>
              </w:tabs>
              <w:spacing w:line="276" w:lineRule="auto"/>
              <w:jc w:val="right"/>
            </w:pPr>
            <w:r>
              <w:t>£355.32</w:t>
            </w:r>
          </w:p>
        </w:tc>
      </w:tr>
    </w:tbl>
    <w:p w14:paraId="5C22DAF7" w14:textId="4D572BFD" w:rsidR="00171302" w:rsidRPr="00171302" w:rsidRDefault="00B15656" w:rsidP="00171302">
      <w:pPr>
        <w:tabs>
          <w:tab w:val="left" w:pos="5400"/>
        </w:tabs>
      </w:pPr>
      <w:r w:rsidRPr="00B15656">
        <w:rPr>
          <w:rFonts w:eastAsiaTheme="majorEastAsia" w:cstheme="majorBidi"/>
          <w:b/>
          <w:color w:val="000000" w:themeColor="text1"/>
          <w:szCs w:val="26"/>
        </w:rPr>
        <w:br/>
      </w:r>
      <w:r w:rsidR="00171302" w:rsidRPr="00171302">
        <w:t xml:space="preserve">I have included separately to this response a </w:t>
      </w:r>
      <w:r w:rsidR="0004357F">
        <w:t>PDF document</w:t>
      </w:r>
      <w:r w:rsidR="00171302" w:rsidRPr="00171302">
        <w:t xml:space="preserve"> providing a list of all improvements/</w:t>
      </w:r>
      <w:r w:rsidR="000254D1">
        <w:t xml:space="preserve"> </w:t>
      </w:r>
      <w:r w:rsidR="00171302" w:rsidRPr="00171302">
        <w:t xml:space="preserve">works carried out during </w:t>
      </w:r>
      <w:r w:rsidR="00171302">
        <w:t xml:space="preserve">the </w:t>
      </w:r>
      <w:r w:rsidR="00171302" w:rsidRPr="00171302">
        <w:t xml:space="preserve">time period requested. </w:t>
      </w:r>
    </w:p>
    <w:p w14:paraId="40370A53" w14:textId="119CF45C" w:rsidR="00171302" w:rsidRPr="00171302" w:rsidRDefault="00171302" w:rsidP="00171302">
      <w:pPr>
        <w:tabs>
          <w:tab w:val="left" w:pos="5400"/>
        </w:tabs>
      </w:pPr>
      <w:r w:rsidRPr="00171302">
        <w:t xml:space="preserve">I would advise that some information </w:t>
      </w:r>
      <w:r w:rsidR="000254D1">
        <w:t>has been redacted</w:t>
      </w:r>
      <w:r w:rsidRPr="00171302">
        <w:t xml:space="preserve">.  </w:t>
      </w:r>
    </w:p>
    <w:p w14:paraId="1A93FA3B" w14:textId="10A10017" w:rsidR="00171302" w:rsidRPr="000254D1" w:rsidRDefault="000254D1" w:rsidP="00171302">
      <w:pPr>
        <w:tabs>
          <w:tab w:val="left" w:pos="5400"/>
        </w:tabs>
        <w:rPr>
          <w:rFonts w:eastAsiaTheme="majorEastAsia" w:cstheme="majorBidi"/>
          <w:bCs/>
          <w:color w:val="000000" w:themeColor="text1"/>
          <w:szCs w:val="26"/>
        </w:rPr>
      </w:pPr>
      <w:r>
        <w:t>That information is held by Police Scotland, but I am refusing to provide it in terms of s</w:t>
      </w:r>
      <w:r w:rsidRPr="00453F0A">
        <w:t>ection 16</w:t>
      </w:r>
      <w:r>
        <w:t>(1) of the Act on the basis that the following exemptions apply:</w:t>
      </w:r>
    </w:p>
    <w:p w14:paraId="3C2538DA" w14:textId="7BEB0651" w:rsidR="0004357F" w:rsidRPr="00241328" w:rsidRDefault="0004357F" w:rsidP="0004357F">
      <w:pPr>
        <w:autoSpaceDE w:val="0"/>
        <w:autoSpaceDN w:val="0"/>
        <w:adjustRightInd w:val="0"/>
        <w:rPr>
          <w:b/>
        </w:rPr>
      </w:pPr>
      <w:r w:rsidRPr="00B40D0F">
        <w:rPr>
          <w:b/>
        </w:rPr>
        <w:t xml:space="preserve">Section 33(1)(b) </w:t>
      </w:r>
      <w:r w:rsidR="00D51C32">
        <w:rPr>
          <w:b/>
        </w:rPr>
        <w:t>-</w:t>
      </w:r>
      <w:r w:rsidRPr="00B40D0F">
        <w:rPr>
          <w:b/>
        </w:rPr>
        <w:t xml:space="preserve"> Commercial Interests</w:t>
      </w:r>
    </w:p>
    <w:p w14:paraId="0B0439AC" w14:textId="75435F26" w:rsidR="0004357F" w:rsidRPr="00171302" w:rsidRDefault="0004357F" w:rsidP="0004357F">
      <w:r>
        <w:t>Such information will not be disclosed</w:t>
      </w:r>
      <w:r w:rsidRPr="002B57A7">
        <w:t xml:space="preserve"> </w:t>
      </w:r>
      <w:r>
        <w:t xml:space="preserve">as it </w:t>
      </w:r>
      <w:r w:rsidRPr="002B57A7">
        <w:t>is</w:t>
      </w:r>
      <w:r>
        <w:t xml:space="preserve"> considered to be commercially sensitive.  Disclosure would give </w:t>
      </w:r>
      <w:r w:rsidRPr="002B57A7">
        <w:t xml:space="preserve">a competitive advantage </w:t>
      </w:r>
      <w:r>
        <w:t xml:space="preserve">to companies in any future tender process.  </w:t>
      </w:r>
    </w:p>
    <w:p w14:paraId="3A259F61" w14:textId="025E5E85" w:rsidR="00171302" w:rsidRPr="00171302" w:rsidRDefault="00171302" w:rsidP="00171302">
      <w:pPr>
        <w:tabs>
          <w:tab w:val="left" w:pos="5400"/>
        </w:tabs>
        <w:rPr>
          <w:b/>
        </w:rPr>
      </w:pPr>
      <w:r w:rsidRPr="00171302">
        <w:rPr>
          <w:b/>
        </w:rPr>
        <w:t xml:space="preserve">Section 35(1)(a) </w:t>
      </w:r>
      <w:r w:rsidR="00D51C32">
        <w:rPr>
          <w:b/>
        </w:rPr>
        <w:t>- Prevention of Crime</w:t>
      </w:r>
    </w:p>
    <w:p w14:paraId="50601165" w14:textId="11665F17" w:rsidR="00171302" w:rsidRPr="00171302" w:rsidRDefault="000254D1" w:rsidP="00171302">
      <w:pPr>
        <w:tabs>
          <w:tab w:val="left" w:pos="5400"/>
        </w:tabs>
      </w:pPr>
      <w:r>
        <w:t>Disclosure</w:t>
      </w:r>
      <w:r w:rsidR="00171302" w:rsidRPr="00171302">
        <w:t xml:space="preserve"> </w:t>
      </w:r>
      <w:r w:rsidR="00D51C32">
        <w:t>of this level of detail would amount to a</w:t>
      </w:r>
      <w:r w:rsidR="00171302" w:rsidRPr="00171302">
        <w:t xml:space="preserve"> security risk and </w:t>
      </w:r>
      <w:r w:rsidR="00D51C32">
        <w:t xml:space="preserve">thereby endanger </w:t>
      </w:r>
      <w:r w:rsidR="00171302" w:rsidRPr="00171302">
        <w:t xml:space="preserve">Police Scotland staff and officer safety.  </w:t>
      </w:r>
      <w:r w:rsidR="00D51C32">
        <w:t>To explain, details of some repairs highlight potential vulnerabilities which could be exploited either by those attempting to gain entry to the property or by those in police custody.</w:t>
      </w:r>
    </w:p>
    <w:p w14:paraId="56710CC1" w14:textId="77777777" w:rsidR="00171302" w:rsidRPr="00171302" w:rsidRDefault="00171302" w:rsidP="00171302">
      <w:pPr>
        <w:tabs>
          <w:tab w:val="left" w:pos="5400"/>
        </w:tabs>
        <w:rPr>
          <w:b/>
        </w:rPr>
      </w:pPr>
      <w:r w:rsidRPr="00171302">
        <w:rPr>
          <w:b/>
        </w:rPr>
        <w:t xml:space="preserve">Public Interest Test </w:t>
      </w:r>
    </w:p>
    <w:p w14:paraId="4A032207" w14:textId="77777777" w:rsidR="00171302" w:rsidRPr="00171302" w:rsidRDefault="00171302" w:rsidP="00171302">
      <w:pPr>
        <w:tabs>
          <w:tab w:val="left" w:pos="5400"/>
        </w:tabs>
        <w:rPr>
          <w:iCs/>
        </w:rPr>
      </w:pPr>
      <w:r w:rsidRPr="00171302">
        <w:rPr>
          <w:iCs/>
        </w:rPr>
        <w:t xml:space="preserve">Public awareness and accountability would favour a disclosure on this subject as it would contribute to the public debate surrounding the efficient and effective use of resources by the Service. However, in contrast, there is no public interest in disclosing information which is likely to damage the efficient and effective conduct of the police service in relation to its law enforcement role, or which is likely to have an adverse impact upon public safety. </w:t>
      </w:r>
    </w:p>
    <w:p w14:paraId="753D3F2E" w14:textId="77777777" w:rsidR="00171302" w:rsidRPr="00171302" w:rsidRDefault="00171302" w:rsidP="00171302">
      <w:pPr>
        <w:tabs>
          <w:tab w:val="left" w:pos="5400"/>
        </w:tabs>
        <w:rPr>
          <w:iCs/>
        </w:rPr>
      </w:pPr>
      <w:r w:rsidRPr="00171302">
        <w:rPr>
          <w:iCs/>
        </w:rPr>
        <w:t xml:space="preserve">Accordingly, I consider that the decision must fall in favour of preventing crime and safeguarding the health and safety of police employees and the public, therefore, on </w:t>
      </w:r>
      <w:r w:rsidRPr="00171302">
        <w:rPr>
          <w:iCs/>
        </w:rPr>
        <w:lastRenderedPageBreak/>
        <w:t>balance, the public interest in disclosing the information requested is outweighed by that in maintaining the exemptions detailed above.</w:t>
      </w:r>
    </w:p>
    <w:p w14:paraId="49ADC358" w14:textId="64DB0F2B" w:rsidR="00171302" w:rsidRPr="00171302" w:rsidRDefault="00171302" w:rsidP="00171302">
      <w:pPr>
        <w:tabs>
          <w:tab w:val="left" w:pos="5400"/>
        </w:tabs>
        <w:rPr>
          <w:b/>
        </w:rPr>
      </w:pPr>
      <w:r w:rsidRPr="00171302">
        <w:rPr>
          <w:b/>
        </w:rPr>
        <w:t xml:space="preserve">Section 38(1) (b) </w:t>
      </w:r>
      <w:r w:rsidR="00C8221D">
        <w:rPr>
          <w:b/>
        </w:rPr>
        <w:t>-</w:t>
      </w:r>
      <w:r w:rsidRPr="00171302">
        <w:rPr>
          <w:b/>
        </w:rPr>
        <w:t xml:space="preserve"> </w:t>
      </w:r>
      <w:r w:rsidR="00C8221D">
        <w:rPr>
          <w:b/>
        </w:rPr>
        <w:t>P</w:t>
      </w:r>
      <w:r w:rsidRPr="00171302">
        <w:rPr>
          <w:b/>
        </w:rPr>
        <w:t xml:space="preserve">ersonal </w:t>
      </w:r>
      <w:r w:rsidR="00C8221D">
        <w:rPr>
          <w:b/>
        </w:rPr>
        <w:t>I</w:t>
      </w:r>
      <w:r w:rsidRPr="00171302">
        <w:rPr>
          <w:b/>
        </w:rPr>
        <w:t>nformation.</w:t>
      </w:r>
    </w:p>
    <w:p w14:paraId="2A2BD5B8" w14:textId="77777777" w:rsidR="00171302" w:rsidRPr="00171302" w:rsidRDefault="00171302" w:rsidP="00171302">
      <w:pPr>
        <w:tabs>
          <w:tab w:val="left" w:pos="5400"/>
        </w:tabs>
      </w:pPr>
      <w:r w:rsidRPr="00171302">
        <w:t>Personal data is defined in Article 4 of the General Data Protection Regulation (GDPR) as:</w:t>
      </w:r>
    </w:p>
    <w:p w14:paraId="6EB2CA02" w14:textId="77777777" w:rsidR="00171302" w:rsidRPr="00171302" w:rsidRDefault="00171302" w:rsidP="00171302">
      <w:pPr>
        <w:tabs>
          <w:tab w:val="left" w:pos="5400"/>
        </w:tabs>
      </w:pPr>
      <w:r w:rsidRPr="00171302">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BFCAA95" w14:textId="77777777" w:rsidR="00171302" w:rsidRPr="00171302" w:rsidRDefault="00171302" w:rsidP="00171302">
      <w:pPr>
        <w:tabs>
          <w:tab w:val="left" w:pos="5400"/>
        </w:tabs>
      </w:pPr>
      <w:r w:rsidRPr="00171302">
        <w:t>Section 38(2A) of the Act provides that personal data is exempt from disclosure where disclosure would contravene any of the data protection principles set out at Article 5(1) of the GDPR which states that:</w:t>
      </w:r>
    </w:p>
    <w:p w14:paraId="0728F9B6" w14:textId="77777777" w:rsidR="00171302" w:rsidRPr="00171302" w:rsidRDefault="00171302" w:rsidP="00171302">
      <w:pPr>
        <w:tabs>
          <w:tab w:val="left" w:pos="5400"/>
        </w:tabs>
      </w:pPr>
      <w:r w:rsidRPr="00171302">
        <w:t>‘Personal data shall be processed lawfully, fairly and in a transparent manner in relation to the data subject’</w:t>
      </w:r>
    </w:p>
    <w:p w14:paraId="4A007DF4" w14:textId="77777777" w:rsidR="00171302" w:rsidRPr="00171302" w:rsidRDefault="00171302" w:rsidP="00171302">
      <w:pPr>
        <w:tabs>
          <w:tab w:val="left" w:pos="5400"/>
        </w:tabs>
      </w:pPr>
      <w:r w:rsidRPr="00171302">
        <w:t>Article 6 of the GDPR goes on to state that processing shall be lawful only if certain conditions are met.  The only potentially applicable condition is Article 6(1) (f) which states:</w:t>
      </w:r>
    </w:p>
    <w:p w14:paraId="0FECD462" w14:textId="77777777" w:rsidR="00171302" w:rsidRPr="00171302" w:rsidRDefault="00171302" w:rsidP="00171302">
      <w:pPr>
        <w:tabs>
          <w:tab w:val="left" w:pos="5400"/>
        </w:tabs>
      </w:pPr>
      <w:r w:rsidRPr="00171302">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14:paraId="0B9C65CF" w14:textId="77777777" w:rsidR="00171302" w:rsidRPr="00171302" w:rsidRDefault="00171302" w:rsidP="00171302">
      <w:pPr>
        <w:tabs>
          <w:tab w:val="left" w:pos="5400"/>
        </w:tabs>
      </w:pPr>
      <w:r w:rsidRPr="00171302">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w:t>
      </w:r>
    </w:p>
    <w:p w14:paraId="34BDABBD" w14:textId="09FA5E24" w:rsidR="00BF6B81" w:rsidRPr="00B11A55" w:rsidRDefault="00BF6B81" w:rsidP="0017130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74FCE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6D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C8379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6D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8A875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6D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1FF3A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6D7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5F4E18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6D7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C81E51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6D7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4485"/>
    <w:rsid w:val="000254D1"/>
    <w:rsid w:val="0004357F"/>
    <w:rsid w:val="00090F3B"/>
    <w:rsid w:val="000C316A"/>
    <w:rsid w:val="000E2F19"/>
    <w:rsid w:val="000E5727"/>
    <w:rsid w:val="000E6526"/>
    <w:rsid w:val="00141533"/>
    <w:rsid w:val="001576DD"/>
    <w:rsid w:val="00167528"/>
    <w:rsid w:val="00171302"/>
    <w:rsid w:val="00174ABC"/>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C6D7D"/>
    <w:rsid w:val="005F5D86"/>
    <w:rsid w:val="0060183F"/>
    <w:rsid w:val="00645CFA"/>
    <w:rsid w:val="00657A5E"/>
    <w:rsid w:val="0069222F"/>
    <w:rsid w:val="006D5799"/>
    <w:rsid w:val="00743BB0"/>
    <w:rsid w:val="00750D83"/>
    <w:rsid w:val="00752ED6"/>
    <w:rsid w:val="00756516"/>
    <w:rsid w:val="00785DBC"/>
    <w:rsid w:val="00793DD5"/>
    <w:rsid w:val="007D55F6"/>
    <w:rsid w:val="007F082A"/>
    <w:rsid w:val="007F490F"/>
    <w:rsid w:val="007F4B0A"/>
    <w:rsid w:val="0080345C"/>
    <w:rsid w:val="008060E5"/>
    <w:rsid w:val="0086779C"/>
    <w:rsid w:val="0087328F"/>
    <w:rsid w:val="00874BFD"/>
    <w:rsid w:val="008964EF"/>
    <w:rsid w:val="008E442E"/>
    <w:rsid w:val="00915E01"/>
    <w:rsid w:val="009631A4"/>
    <w:rsid w:val="00977296"/>
    <w:rsid w:val="00A061E3"/>
    <w:rsid w:val="00A25E93"/>
    <w:rsid w:val="00A320FF"/>
    <w:rsid w:val="00A70AC0"/>
    <w:rsid w:val="00A725F0"/>
    <w:rsid w:val="00A84EA9"/>
    <w:rsid w:val="00AC443C"/>
    <w:rsid w:val="00AE741E"/>
    <w:rsid w:val="00B11A55"/>
    <w:rsid w:val="00B15656"/>
    <w:rsid w:val="00B17211"/>
    <w:rsid w:val="00B461B2"/>
    <w:rsid w:val="00B654B6"/>
    <w:rsid w:val="00B71B3C"/>
    <w:rsid w:val="00BC1347"/>
    <w:rsid w:val="00BC389E"/>
    <w:rsid w:val="00BE1888"/>
    <w:rsid w:val="00BE5BE4"/>
    <w:rsid w:val="00BF6B81"/>
    <w:rsid w:val="00C077A8"/>
    <w:rsid w:val="00C14FF4"/>
    <w:rsid w:val="00C37388"/>
    <w:rsid w:val="00C606A2"/>
    <w:rsid w:val="00C63872"/>
    <w:rsid w:val="00C8221D"/>
    <w:rsid w:val="00C84948"/>
    <w:rsid w:val="00CB3707"/>
    <w:rsid w:val="00CC705D"/>
    <w:rsid w:val="00CD0C53"/>
    <w:rsid w:val="00CF1111"/>
    <w:rsid w:val="00D05706"/>
    <w:rsid w:val="00D27DC5"/>
    <w:rsid w:val="00D44B13"/>
    <w:rsid w:val="00D47E36"/>
    <w:rsid w:val="00D51C32"/>
    <w:rsid w:val="00D7784F"/>
    <w:rsid w:val="00E55D79"/>
    <w:rsid w:val="00EC474E"/>
    <w:rsid w:val="00ED35C2"/>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795412">
      <w:bodyDiv w:val="1"/>
      <w:marLeft w:val="0"/>
      <w:marRight w:val="0"/>
      <w:marTop w:val="0"/>
      <w:marBottom w:val="0"/>
      <w:divBdr>
        <w:top w:val="none" w:sz="0" w:space="0" w:color="auto"/>
        <w:left w:val="none" w:sz="0" w:space="0" w:color="auto"/>
        <w:bottom w:val="none" w:sz="0" w:space="0" w:color="auto"/>
        <w:right w:val="none" w:sz="0" w:space="0" w:color="auto"/>
      </w:divBdr>
    </w:div>
    <w:div w:id="101974197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970</Words>
  <Characters>5533</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