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B9980A" w:rsidR="00B17211" w:rsidRPr="00B17211" w:rsidRDefault="00B17211" w:rsidP="007F490F">
            <w:r w:rsidRPr="007F490F">
              <w:rPr>
                <w:rStyle w:val="Heading2Char"/>
              </w:rPr>
              <w:t>Our reference:</w:t>
            </w:r>
            <w:r>
              <w:t xml:space="preserve">  FOI </w:t>
            </w:r>
            <w:r w:rsidR="00C6579C">
              <w:t>25-0269</w:t>
            </w:r>
          </w:p>
          <w:p w14:paraId="34BDABA6" w14:textId="3DAEE821" w:rsidR="00B17211" w:rsidRDefault="00456324" w:rsidP="00EE2373">
            <w:r w:rsidRPr="007F490F">
              <w:rPr>
                <w:rStyle w:val="Heading2Char"/>
              </w:rPr>
              <w:t>Respon</w:t>
            </w:r>
            <w:r w:rsidR="007D55F6">
              <w:rPr>
                <w:rStyle w:val="Heading2Char"/>
              </w:rPr>
              <w:t>ded to:</w:t>
            </w:r>
            <w:r w:rsidR="007F490F">
              <w:t xml:space="preserve">  </w:t>
            </w:r>
            <w:r w:rsidR="00C6579C">
              <w:t xml:space="preserve">31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3CDEDB" w14:textId="77777777" w:rsidR="00474BAD" w:rsidRPr="00474BAD" w:rsidRDefault="00474BAD" w:rsidP="00474BAD">
      <w:pPr>
        <w:pStyle w:val="Heading2"/>
      </w:pPr>
      <w:r w:rsidRPr="00474BAD">
        <w:t>Under The Freedom of Information Act 2000, could you please provide the following information:</w:t>
      </w:r>
    </w:p>
    <w:p w14:paraId="34BDABB8" w14:textId="783E5D29" w:rsidR="00255F1E" w:rsidRDefault="00474BAD" w:rsidP="00474BAD">
      <w:pPr>
        <w:pStyle w:val="Heading2"/>
      </w:pPr>
      <w:r w:rsidRPr="00474BAD">
        <w:br/>
        <w:t>1. In each of the last five calendar years (2019, 2020, 2021, 2022, 2023), how much did the force spend on purchasing information from data brokers such as Experian, Equifax, Acxiom and others?</w:t>
      </w:r>
      <w:r w:rsidRPr="00474BAD">
        <w:br/>
        <w:t>Please provide a full breakdown of spend with each provider in each calendar year</w:t>
      </w:r>
    </w:p>
    <w:p w14:paraId="59996168" w14:textId="0447BF80" w:rsidR="00474BAD" w:rsidRPr="00474BAD" w:rsidRDefault="00C6579C" w:rsidP="00474BAD">
      <w:r>
        <w:t>The table below shows Police Scotland’s total spend regarding data purchasing</w:t>
      </w:r>
      <w:r w:rsidR="003C2113">
        <w:t xml:space="preserve"> in pounds sterling (£)</w:t>
      </w:r>
      <w:r>
        <w:t xml:space="preserve"> for the years 2019-2023, broken down by provider. </w:t>
      </w:r>
    </w:p>
    <w:tbl>
      <w:tblPr>
        <w:tblStyle w:val="TableGrid"/>
        <w:tblW w:w="0" w:type="auto"/>
        <w:tblLook w:val="04A0" w:firstRow="1" w:lastRow="0" w:firstColumn="1" w:lastColumn="0" w:noHBand="0" w:noVBand="1"/>
      </w:tblPr>
      <w:tblGrid>
        <w:gridCol w:w="2498"/>
        <w:gridCol w:w="1084"/>
        <w:gridCol w:w="1084"/>
        <w:gridCol w:w="1084"/>
        <w:gridCol w:w="1084"/>
        <w:gridCol w:w="1084"/>
      </w:tblGrid>
      <w:tr w:rsidR="00474BAD" w14:paraId="2D3213F3" w14:textId="77777777" w:rsidTr="00474BAD">
        <w:tc>
          <w:tcPr>
            <w:tcW w:w="0" w:type="auto"/>
            <w:shd w:val="clear" w:color="auto" w:fill="D9D9D9" w:themeFill="background1" w:themeFillShade="D9"/>
          </w:tcPr>
          <w:p w14:paraId="60E65447" w14:textId="4AD28410" w:rsidR="00474BAD" w:rsidRDefault="00474BAD" w:rsidP="00474BAD">
            <w:r>
              <w:t>Provider</w:t>
            </w:r>
          </w:p>
        </w:tc>
        <w:tc>
          <w:tcPr>
            <w:tcW w:w="0" w:type="auto"/>
            <w:shd w:val="clear" w:color="auto" w:fill="D9D9D9" w:themeFill="background1" w:themeFillShade="D9"/>
          </w:tcPr>
          <w:p w14:paraId="7F3C12A3" w14:textId="71F0A798" w:rsidR="00474BAD" w:rsidRDefault="00474BAD" w:rsidP="00474BAD">
            <w:r>
              <w:t xml:space="preserve">2019 </w:t>
            </w:r>
          </w:p>
        </w:tc>
        <w:tc>
          <w:tcPr>
            <w:tcW w:w="0" w:type="auto"/>
            <w:shd w:val="clear" w:color="auto" w:fill="D9D9D9" w:themeFill="background1" w:themeFillShade="D9"/>
          </w:tcPr>
          <w:p w14:paraId="3EA3F82B" w14:textId="773C3DA9" w:rsidR="00474BAD" w:rsidRDefault="00474BAD" w:rsidP="00474BAD">
            <w:r>
              <w:t>2020</w:t>
            </w:r>
          </w:p>
        </w:tc>
        <w:tc>
          <w:tcPr>
            <w:tcW w:w="0" w:type="auto"/>
            <w:shd w:val="clear" w:color="auto" w:fill="D9D9D9" w:themeFill="background1" w:themeFillShade="D9"/>
          </w:tcPr>
          <w:p w14:paraId="33745453" w14:textId="1E490AE7" w:rsidR="00474BAD" w:rsidRDefault="00474BAD" w:rsidP="00474BAD">
            <w:r>
              <w:t>2021</w:t>
            </w:r>
          </w:p>
        </w:tc>
        <w:tc>
          <w:tcPr>
            <w:tcW w:w="0" w:type="auto"/>
            <w:shd w:val="clear" w:color="auto" w:fill="D9D9D9" w:themeFill="background1" w:themeFillShade="D9"/>
          </w:tcPr>
          <w:p w14:paraId="10D3D1AB" w14:textId="40412EAD" w:rsidR="00474BAD" w:rsidRDefault="00474BAD" w:rsidP="00474BAD">
            <w:r>
              <w:t>2022</w:t>
            </w:r>
          </w:p>
        </w:tc>
        <w:tc>
          <w:tcPr>
            <w:tcW w:w="0" w:type="auto"/>
            <w:shd w:val="clear" w:color="auto" w:fill="D9D9D9" w:themeFill="background1" w:themeFillShade="D9"/>
          </w:tcPr>
          <w:p w14:paraId="291F349C" w14:textId="77752960" w:rsidR="00474BAD" w:rsidRDefault="00474BAD" w:rsidP="00474BAD">
            <w:r>
              <w:t>2023</w:t>
            </w:r>
          </w:p>
        </w:tc>
      </w:tr>
      <w:tr w:rsidR="00474BAD" w14:paraId="6B54DCFE" w14:textId="77777777" w:rsidTr="00474BAD">
        <w:tc>
          <w:tcPr>
            <w:tcW w:w="0" w:type="auto"/>
          </w:tcPr>
          <w:p w14:paraId="75340B7E" w14:textId="469E75CC" w:rsidR="00474BAD" w:rsidRDefault="00474BAD" w:rsidP="00474BAD">
            <w:r>
              <w:t>Experian</w:t>
            </w:r>
          </w:p>
        </w:tc>
        <w:tc>
          <w:tcPr>
            <w:tcW w:w="0" w:type="auto"/>
          </w:tcPr>
          <w:p w14:paraId="68A9E625" w14:textId="2B388B8C" w:rsidR="00474BAD" w:rsidRDefault="00474BAD" w:rsidP="00474BAD">
            <w:r>
              <w:t>208,114</w:t>
            </w:r>
          </w:p>
        </w:tc>
        <w:tc>
          <w:tcPr>
            <w:tcW w:w="0" w:type="auto"/>
          </w:tcPr>
          <w:p w14:paraId="58EEFF91" w14:textId="653D4DF4" w:rsidR="00474BAD" w:rsidRDefault="00474BAD" w:rsidP="00474BAD">
            <w:r>
              <w:t>235,415</w:t>
            </w:r>
          </w:p>
        </w:tc>
        <w:tc>
          <w:tcPr>
            <w:tcW w:w="0" w:type="auto"/>
          </w:tcPr>
          <w:p w14:paraId="63CF4D9E" w14:textId="23ACE02F" w:rsidR="00474BAD" w:rsidRDefault="00474BAD" w:rsidP="00474BAD">
            <w:r>
              <w:t>331,320</w:t>
            </w:r>
          </w:p>
        </w:tc>
        <w:tc>
          <w:tcPr>
            <w:tcW w:w="0" w:type="auto"/>
          </w:tcPr>
          <w:p w14:paraId="22E18E7A" w14:textId="02228862" w:rsidR="00474BAD" w:rsidRDefault="00474BAD" w:rsidP="00474BAD">
            <w:r>
              <w:t>308,839</w:t>
            </w:r>
          </w:p>
        </w:tc>
        <w:tc>
          <w:tcPr>
            <w:tcW w:w="0" w:type="auto"/>
          </w:tcPr>
          <w:p w14:paraId="42239D43" w14:textId="63EC33B0" w:rsidR="00474BAD" w:rsidRDefault="00474BAD" w:rsidP="00474BAD">
            <w:r>
              <w:t>256,358</w:t>
            </w:r>
          </w:p>
        </w:tc>
      </w:tr>
      <w:tr w:rsidR="00474BAD" w14:paraId="0DAB72AE" w14:textId="77777777" w:rsidTr="00474BAD">
        <w:tc>
          <w:tcPr>
            <w:tcW w:w="0" w:type="auto"/>
          </w:tcPr>
          <w:p w14:paraId="31AEEB52" w14:textId="4E0331E9" w:rsidR="00474BAD" w:rsidRDefault="00474BAD" w:rsidP="00474BAD">
            <w:r>
              <w:t>Equifax</w:t>
            </w:r>
          </w:p>
        </w:tc>
        <w:tc>
          <w:tcPr>
            <w:tcW w:w="0" w:type="auto"/>
          </w:tcPr>
          <w:p w14:paraId="1E8663C3" w14:textId="58E6D9A6" w:rsidR="00474BAD" w:rsidRDefault="00474BAD" w:rsidP="00474BAD">
            <w:r>
              <w:t>77,179</w:t>
            </w:r>
          </w:p>
        </w:tc>
        <w:tc>
          <w:tcPr>
            <w:tcW w:w="0" w:type="auto"/>
          </w:tcPr>
          <w:p w14:paraId="24ADE172" w14:textId="4D991063" w:rsidR="00474BAD" w:rsidRDefault="00474BAD" w:rsidP="00474BAD">
            <w:r>
              <w:t>80,804</w:t>
            </w:r>
          </w:p>
        </w:tc>
        <w:tc>
          <w:tcPr>
            <w:tcW w:w="0" w:type="auto"/>
          </w:tcPr>
          <w:p w14:paraId="3DAE8F55" w14:textId="51A8BAD5" w:rsidR="00474BAD" w:rsidRDefault="00474BAD" w:rsidP="00474BAD">
            <w:r>
              <w:t>75,284</w:t>
            </w:r>
          </w:p>
        </w:tc>
        <w:tc>
          <w:tcPr>
            <w:tcW w:w="0" w:type="auto"/>
          </w:tcPr>
          <w:p w14:paraId="6CBD7D34" w14:textId="2BA301AA" w:rsidR="00474BAD" w:rsidRDefault="00474BAD" w:rsidP="00474BAD">
            <w:r>
              <w:t>40,009</w:t>
            </w:r>
          </w:p>
        </w:tc>
        <w:tc>
          <w:tcPr>
            <w:tcW w:w="0" w:type="auto"/>
          </w:tcPr>
          <w:p w14:paraId="3C791F1D" w14:textId="63EA9E4C" w:rsidR="00474BAD" w:rsidRDefault="00474BAD" w:rsidP="00474BAD">
            <w:r>
              <w:t>52,418</w:t>
            </w:r>
          </w:p>
        </w:tc>
      </w:tr>
      <w:tr w:rsidR="00474BAD" w14:paraId="64051D0C" w14:textId="77777777" w:rsidTr="00474BAD">
        <w:tc>
          <w:tcPr>
            <w:tcW w:w="0" w:type="auto"/>
          </w:tcPr>
          <w:p w14:paraId="055B3A35" w14:textId="213AC683" w:rsidR="00474BAD" w:rsidRDefault="00474BAD" w:rsidP="00474BAD">
            <w:r>
              <w:t>Acxiom</w:t>
            </w:r>
          </w:p>
        </w:tc>
        <w:tc>
          <w:tcPr>
            <w:tcW w:w="0" w:type="auto"/>
          </w:tcPr>
          <w:p w14:paraId="17D4B130" w14:textId="70110B2E" w:rsidR="00474BAD" w:rsidRDefault="00474BAD" w:rsidP="00474BAD">
            <w:r>
              <w:t>0</w:t>
            </w:r>
          </w:p>
        </w:tc>
        <w:tc>
          <w:tcPr>
            <w:tcW w:w="0" w:type="auto"/>
          </w:tcPr>
          <w:p w14:paraId="559E3F2D" w14:textId="04167997" w:rsidR="00474BAD" w:rsidRDefault="00474BAD" w:rsidP="00474BAD">
            <w:r>
              <w:t>0</w:t>
            </w:r>
          </w:p>
        </w:tc>
        <w:tc>
          <w:tcPr>
            <w:tcW w:w="0" w:type="auto"/>
          </w:tcPr>
          <w:p w14:paraId="32EA78CA" w14:textId="51145D70" w:rsidR="00474BAD" w:rsidRDefault="00474BAD" w:rsidP="00474BAD">
            <w:r>
              <w:t>0</w:t>
            </w:r>
          </w:p>
        </w:tc>
        <w:tc>
          <w:tcPr>
            <w:tcW w:w="0" w:type="auto"/>
          </w:tcPr>
          <w:p w14:paraId="6828B63F" w14:textId="27838F2E" w:rsidR="00474BAD" w:rsidRDefault="00474BAD" w:rsidP="00474BAD">
            <w:r>
              <w:t>0</w:t>
            </w:r>
          </w:p>
        </w:tc>
        <w:tc>
          <w:tcPr>
            <w:tcW w:w="0" w:type="auto"/>
          </w:tcPr>
          <w:p w14:paraId="7CE4790F" w14:textId="3AC7B07D" w:rsidR="00474BAD" w:rsidRDefault="00474BAD" w:rsidP="00474BAD">
            <w:r>
              <w:t>0</w:t>
            </w:r>
          </w:p>
        </w:tc>
      </w:tr>
      <w:tr w:rsidR="00474BAD" w14:paraId="5FD34153" w14:textId="77777777" w:rsidTr="00474BAD">
        <w:tc>
          <w:tcPr>
            <w:tcW w:w="0" w:type="auto"/>
          </w:tcPr>
          <w:p w14:paraId="33384514" w14:textId="6DFC126C" w:rsidR="00474BAD" w:rsidRDefault="00474BAD" w:rsidP="00474BAD">
            <w:r>
              <w:t>Companies house</w:t>
            </w:r>
          </w:p>
        </w:tc>
        <w:tc>
          <w:tcPr>
            <w:tcW w:w="0" w:type="auto"/>
          </w:tcPr>
          <w:p w14:paraId="10BEE370" w14:textId="095DD716" w:rsidR="00474BAD" w:rsidRDefault="00474BAD" w:rsidP="00474BAD">
            <w:r>
              <w:t>1050</w:t>
            </w:r>
          </w:p>
        </w:tc>
        <w:tc>
          <w:tcPr>
            <w:tcW w:w="0" w:type="auto"/>
          </w:tcPr>
          <w:p w14:paraId="06280AFF" w14:textId="6B82A9F1" w:rsidR="00474BAD" w:rsidRDefault="00474BAD" w:rsidP="00474BAD">
            <w:r>
              <w:t>326</w:t>
            </w:r>
          </w:p>
        </w:tc>
        <w:tc>
          <w:tcPr>
            <w:tcW w:w="0" w:type="auto"/>
          </w:tcPr>
          <w:p w14:paraId="493A7ACE" w14:textId="649CB086" w:rsidR="00474BAD" w:rsidRDefault="00474BAD" w:rsidP="00474BAD">
            <w:r>
              <w:t>216</w:t>
            </w:r>
          </w:p>
        </w:tc>
        <w:tc>
          <w:tcPr>
            <w:tcW w:w="0" w:type="auto"/>
          </w:tcPr>
          <w:p w14:paraId="63860414" w14:textId="78DE7C3A" w:rsidR="00474BAD" w:rsidRDefault="00474BAD" w:rsidP="00474BAD">
            <w:r>
              <w:t>570</w:t>
            </w:r>
          </w:p>
        </w:tc>
        <w:tc>
          <w:tcPr>
            <w:tcW w:w="0" w:type="auto"/>
          </w:tcPr>
          <w:p w14:paraId="27576BE7" w14:textId="4D6CC821" w:rsidR="00474BAD" w:rsidRDefault="00474BAD" w:rsidP="00474BAD">
            <w:r>
              <w:t>118</w:t>
            </w:r>
          </w:p>
        </w:tc>
      </w:tr>
      <w:tr w:rsidR="00474BAD" w14:paraId="0C2199B9" w14:textId="77777777" w:rsidTr="00474BAD">
        <w:tc>
          <w:tcPr>
            <w:tcW w:w="0" w:type="auto"/>
          </w:tcPr>
          <w:p w14:paraId="467E0723" w14:textId="1AE861EF" w:rsidR="00474BAD" w:rsidRDefault="00474BAD" w:rsidP="00474BAD">
            <w:r>
              <w:t xml:space="preserve">Registers of </w:t>
            </w:r>
            <w:r w:rsidR="00C6579C">
              <w:t>S</w:t>
            </w:r>
            <w:r>
              <w:t>cotland</w:t>
            </w:r>
          </w:p>
        </w:tc>
        <w:tc>
          <w:tcPr>
            <w:tcW w:w="0" w:type="auto"/>
          </w:tcPr>
          <w:p w14:paraId="6BE49876" w14:textId="7BE488B7" w:rsidR="00474BAD" w:rsidRDefault="00474BAD" w:rsidP="00474BAD">
            <w:r>
              <w:t>24,011</w:t>
            </w:r>
          </w:p>
        </w:tc>
        <w:tc>
          <w:tcPr>
            <w:tcW w:w="0" w:type="auto"/>
          </w:tcPr>
          <w:p w14:paraId="3BB9E366" w14:textId="227EEFDA" w:rsidR="00474BAD" w:rsidRDefault="00474BAD" w:rsidP="00474BAD">
            <w:r>
              <w:t>19,283</w:t>
            </w:r>
          </w:p>
        </w:tc>
        <w:tc>
          <w:tcPr>
            <w:tcW w:w="0" w:type="auto"/>
          </w:tcPr>
          <w:p w14:paraId="655595B2" w14:textId="62E7B962" w:rsidR="00474BAD" w:rsidRDefault="00474BAD" w:rsidP="00474BAD">
            <w:r>
              <w:t>14,898</w:t>
            </w:r>
          </w:p>
        </w:tc>
        <w:tc>
          <w:tcPr>
            <w:tcW w:w="0" w:type="auto"/>
          </w:tcPr>
          <w:p w14:paraId="1F5CBF1C" w14:textId="457A5F12" w:rsidR="00474BAD" w:rsidRDefault="00474BAD" w:rsidP="00474BAD">
            <w:r>
              <w:t>16,857</w:t>
            </w:r>
          </w:p>
        </w:tc>
        <w:tc>
          <w:tcPr>
            <w:tcW w:w="0" w:type="auto"/>
          </w:tcPr>
          <w:p w14:paraId="441C48CC" w14:textId="013B66A1" w:rsidR="00474BAD" w:rsidRDefault="00474BAD" w:rsidP="00474BAD">
            <w:r>
              <w:t>22,670</w:t>
            </w:r>
          </w:p>
        </w:tc>
      </w:tr>
    </w:tbl>
    <w:p w14:paraId="7D7809FD" w14:textId="77777777" w:rsidR="00474BAD" w:rsidRPr="00474BAD" w:rsidRDefault="00474BAD" w:rsidP="00474BAD"/>
    <w:p w14:paraId="60D2613E" w14:textId="208161AD" w:rsidR="00474BAD" w:rsidRDefault="00474BAD" w:rsidP="00474BAD">
      <w:pPr>
        <w:pStyle w:val="Heading2"/>
      </w:pPr>
      <w:r w:rsidRPr="00474BAD">
        <w:t>2. For what purposes does the force purchase information from data brokers?</w:t>
      </w:r>
    </w:p>
    <w:p w14:paraId="39665DC3" w14:textId="5F058030" w:rsidR="00C6579C" w:rsidRPr="00C6579C" w:rsidRDefault="00C6579C" w:rsidP="00C6579C">
      <w:r>
        <w:t>I can confirm that Police Scotland purchase information for the following reasons</w:t>
      </w:r>
    </w:p>
    <w:p w14:paraId="1776058F" w14:textId="77777777" w:rsidR="00C6579C" w:rsidRPr="00C6579C" w:rsidRDefault="00C6579C" w:rsidP="00C6579C">
      <w:pPr>
        <w:numPr>
          <w:ilvl w:val="0"/>
          <w:numId w:val="2"/>
        </w:numPr>
        <w:tabs>
          <w:tab w:val="left" w:pos="5400"/>
        </w:tabs>
      </w:pPr>
      <w:r w:rsidRPr="00C6579C">
        <w:t>Investigations – Assessing data to support criminal investigations</w:t>
      </w:r>
    </w:p>
    <w:p w14:paraId="25BFFD37" w14:textId="77777777" w:rsidR="00C6579C" w:rsidRPr="00C6579C" w:rsidRDefault="00C6579C" w:rsidP="00C6579C">
      <w:pPr>
        <w:numPr>
          <w:ilvl w:val="0"/>
          <w:numId w:val="2"/>
        </w:numPr>
        <w:tabs>
          <w:tab w:val="left" w:pos="5400"/>
        </w:tabs>
      </w:pPr>
      <w:r w:rsidRPr="00C6579C">
        <w:t>Security Checks – Background checks on individuals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AFD6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10B5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A01B9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EFF8B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A9174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EAF12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21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A4715"/>
    <w:multiLevelType w:val="hybridMultilevel"/>
    <w:tmpl w:val="6C6E3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000471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C2113"/>
    <w:rsid w:val="003D6D03"/>
    <w:rsid w:val="003E12CA"/>
    <w:rsid w:val="004010DC"/>
    <w:rsid w:val="004341F0"/>
    <w:rsid w:val="00456324"/>
    <w:rsid w:val="00464084"/>
    <w:rsid w:val="00474BAD"/>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35AF1"/>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01C49"/>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6579C"/>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08657">
      <w:bodyDiv w:val="1"/>
      <w:marLeft w:val="0"/>
      <w:marRight w:val="0"/>
      <w:marTop w:val="0"/>
      <w:marBottom w:val="0"/>
      <w:divBdr>
        <w:top w:val="none" w:sz="0" w:space="0" w:color="auto"/>
        <w:left w:val="none" w:sz="0" w:space="0" w:color="auto"/>
        <w:bottom w:val="none" w:sz="0" w:space="0" w:color="auto"/>
        <w:right w:val="none" w:sz="0" w:space="0" w:color="auto"/>
      </w:divBdr>
    </w:div>
    <w:div w:id="822240853">
      <w:bodyDiv w:val="1"/>
      <w:marLeft w:val="0"/>
      <w:marRight w:val="0"/>
      <w:marTop w:val="0"/>
      <w:marBottom w:val="0"/>
      <w:divBdr>
        <w:top w:val="none" w:sz="0" w:space="0" w:color="auto"/>
        <w:left w:val="none" w:sz="0" w:space="0" w:color="auto"/>
        <w:bottom w:val="none" w:sz="0" w:space="0" w:color="auto"/>
        <w:right w:val="none" w:sz="0" w:space="0" w:color="auto"/>
      </w:divBdr>
    </w:div>
    <w:div w:id="1151215354">
      <w:bodyDiv w:val="1"/>
      <w:marLeft w:val="0"/>
      <w:marRight w:val="0"/>
      <w:marTop w:val="0"/>
      <w:marBottom w:val="0"/>
      <w:divBdr>
        <w:top w:val="none" w:sz="0" w:space="0" w:color="auto"/>
        <w:left w:val="none" w:sz="0" w:space="0" w:color="auto"/>
        <w:bottom w:val="none" w:sz="0" w:space="0" w:color="auto"/>
        <w:right w:val="none" w:sz="0" w:space="0" w:color="auto"/>
      </w:divBdr>
    </w:div>
    <w:div w:id="1684355095">
      <w:bodyDiv w:val="1"/>
      <w:marLeft w:val="0"/>
      <w:marRight w:val="0"/>
      <w:marTop w:val="0"/>
      <w:marBottom w:val="0"/>
      <w:divBdr>
        <w:top w:val="none" w:sz="0" w:space="0" w:color="auto"/>
        <w:left w:val="none" w:sz="0" w:space="0" w:color="auto"/>
        <w:bottom w:val="none" w:sz="0" w:space="0" w:color="auto"/>
        <w:right w:val="none" w:sz="0" w:space="0" w:color="auto"/>
      </w:divBdr>
    </w:div>
    <w:div w:id="19953337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360</Words>
  <Characters>2053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