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891BD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147002">
              <w:t>2753</w:t>
            </w:r>
          </w:p>
          <w:p w14:paraId="3F5C4352" w14:textId="45A01F6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7002">
              <w:t>28 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2C31432F" w:rsidR="00A90D1B" w:rsidRDefault="00147002" w:rsidP="00793DD5">
      <w:r>
        <w:t>I</w:t>
      </w:r>
      <w:r>
        <w:t xml:space="preserve">nformation can also be accessed by individuals, their solicitors and Insurance Companies via our </w:t>
      </w:r>
      <w:hyperlink r:id="rId8" w:history="1">
        <w:r w:rsidRPr="005873F7">
          <w:rPr>
            <w:rStyle w:val="Hyperlink"/>
          </w:rPr>
          <w:t>Provision of Reports</w:t>
        </w:r>
      </w:hyperlink>
      <w:r>
        <w:t xml:space="preserve"> processes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A8092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4561E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5D60D2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67C6D7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456D748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6DD3CE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47002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8459C"/>
    <w:rsid w:val="005F4D48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rovision-of-repor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2024-10-28T11:20:00Z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