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496D94BA" w:rsidR="00B17211" w:rsidRPr="00B17211" w:rsidRDefault="00B17211" w:rsidP="007F490F">
            <w:r w:rsidRPr="007F490F">
              <w:rPr>
                <w:rStyle w:val="Heading2Char"/>
              </w:rPr>
              <w:t>Our reference:</w:t>
            </w:r>
            <w:r>
              <w:t xml:space="preserve">  FOI 2</w:t>
            </w:r>
            <w:r w:rsidR="00AC443C">
              <w:t>3</w:t>
            </w:r>
            <w:r w:rsidR="00E9092D">
              <w:t>-</w:t>
            </w:r>
            <w:r w:rsidR="00230637">
              <w:t>2</w:t>
            </w:r>
            <w:r w:rsidR="00904003">
              <w:t>561</w:t>
            </w:r>
          </w:p>
          <w:p w14:paraId="21E28F7C" w14:textId="26A6A12D" w:rsidR="00B17211" w:rsidRDefault="00456324" w:rsidP="00A1104B">
            <w:r w:rsidRPr="007F490F">
              <w:rPr>
                <w:rStyle w:val="Heading2Char"/>
              </w:rPr>
              <w:t>Respon</w:t>
            </w:r>
            <w:r w:rsidR="007D55F6">
              <w:rPr>
                <w:rStyle w:val="Heading2Char"/>
              </w:rPr>
              <w:t>ded to:</w:t>
            </w:r>
            <w:r w:rsidR="007F490F">
              <w:t xml:space="preserve">  </w:t>
            </w:r>
            <w:r w:rsidR="00E100B5">
              <w:t>20</w:t>
            </w:r>
            <w:r w:rsidR="00E100B5" w:rsidRPr="00E100B5">
              <w:rPr>
                <w:vertAlign w:val="superscript"/>
              </w:rPr>
              <w:t>th</w:t>
            </w:r>
            <w:r w:rsidR="00E100B5">
              <w:t xml:space="preserve"> </w:t>
            </w:r>
            <w:r w:rsidR="00230637">
              <w:t>October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5AC39E" w14:textId="77777777" w:rsidR="00904003" w:rsidRPr="00904003" w:rsidRDefault="00904003" w:rsidP="00904003">
      <w:pPr>
        <w:pStyle w:val="Heading2"/>
      </w:pPr>
      <w:r w:rsidRPr="00904003">
        <w:t xml:space="preserve">We would like to request details on the number of dogs that were seized, the number of dog attacks that were reported and the number of dogs then subsequently destroyed as a result of a dog attack in Perth and Kinross over the last three financial years. </w:t>
      </w:r>
    </w:p>
    <w:p w14:paraId="21E28F89" w14:textId="149D29D6" w:rsidR="00E9092D" w:rsidRDefault="00E9092D" w:rsidP="00230637">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t xml:space="preserve">Similarly, the crime recording systems used by Police Scotland have no means of searching crime reports for dog attacks specifically. Any such instance would be recorded 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E100B5"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5E1486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466371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6777DF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2F33C5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51F4E2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32E3F3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0B5">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30637"/>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04003"/>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100B5"/>
    <w:rsid w:val="00E55D79"/>
    <w:rsid w:val="00E9092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4CEAD-4C99-434A-94E5-08C481681CC0}">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2023-10-20T09:59:00Z</dcterms:created>
  <dcterms:modified xsi:type="dcterms:W3CDTF">2023-10-20T13:18:00Z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