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2037D2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4731B">
              <w:t>0301</w:t>
            </w:r>
          </w:p>
          <w:p w14:paraId="34BDABA6" w14:textId="0F2875B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8716969" w14:textId="77777777" w:rsidR="001A460C" w:rsidRPr="001A460C" w:rsidRDefault="001A460C" w:rsidP="00F704A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A460C">
        <w:rPr>
          <w:rFonts w:eastAsiaTheme="majorEastAsia" w:cstheme="majorBidi"/>
          <w:b/>
          <w:color w:val="000000" w:themeColor="text1"/>
          <w:szCs w:val="26"/>
        </w:rPr>
        <w:t>For the calendar year 2024, a breakdown by month of the number of Subject Access Requests received and the percentage of these that were answered within the statutory deadline.</w:t>
      </w:r>
    </w:p>
    <w:p w14:paraId="51E59AFD" w14:textId="77777777" w:rsidR="001A460C" w:rsidRDefault="001A460C" w:rsidP="00F704A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A460C">
        <w:rPr>
          <w:rFonts w:eastAsiaTheme="majorEastAsia" w:cstheme="majorBidi"/>
          <w:b/>
          <w:color w:val="000000" w:themeColor="text1"/>
          <w:szCs w:val="26"/>
        </w:rPr>
        <w:t>For each month in the calendar year 2024, the running total of live Subject Access Requests (</w:t>
      </w:r>
      <w:proofErr w:type="spellStart"/>
      <w:r w:rsidRPr="001A460C">
        <w:rPr>
          <w:rFonts w:eastAsiaTheme="majorEastAsia" w:cstheme="majorBidi"/>
          <w:b/>
          <w:color w:val="000000" w:themeColor="text1"/>
          <w:szCs w:val="26"/>
        </w:rPr>
        <w:t>ie</w:t>
      </w:r>
      <w:proofErr w:type="spellEnd"/>
      <w:r w:rsidRPr="001A460C">
        <w:rPr>
          <w:rFonts w:eastAsiaTheme="majorEastAsia" w:cstheme="majorBidi"/>
          <w:b/>
          <w:color w:val="000000" w:themeColor="text1"/>
          <w:szCs w:val="26"/>
        </w:rPr>
        <w:t xml:space="preserve"> SARs that have not yet been answered).</w:t>
      </w:r>
    </w:p>
    <w:p w14:paraId="398DB0A1" w14:textId="4666CC74" w:rsidR="001A460C" w:rsidRPr="00F704AE" w:rsidRDefault="00F704AE" w:rsidP="001A460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704AE">
        <w:rPr>
          <w:rFonts w:eastAsiaTheme="majorEastAsia" w:cstheme="majorBidi"/>
          <w:bCs/>
          <w:color w:val="000000" w:themeColor="text1"/>
          <w:szCs w:val="26"/>
        </w:rPr>
        <w:t>The figures below are accurate as of 13 February 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596"/>
        <w:gridCol w:w="2597"/>
        <w:gridCol w:w="2597"/>
      </w:tblGrid>
      <w:tr w:rsidR="001A460C" w14:paraId="786BDD37" w14:textId="77777777" w:rsidTr="001A460C">
        <w:tc>
          <w:tcPr>
            <w:tcW w:w="1838" w:type="dxa"/>
            <w:shd w:val="clear" w:color="auto" w:fill="D9D9D9" w:themeFill="background1" w:themeFillShade="D9"/>
          </w:tcPr>
          <w:p w14:paraId="08BD1D25" w14:textId="69CD4D77" w:rsidR="001A460C" w:rsidRDefault="001A460C" w:rsidP="001A460C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Month</w:t>
            </w:r>
          </w:p>
        </w:tc>
        <w:tc>
          <w:tcPr>
            <w:tcW w:w="2596" w:type="dxa"/>
            <w:shd w:val="clear" w:color="auto" w:fill="D9D9D9" w:themeFill="background1" w:themeFillShade="D9"/>
          </w:tcPr>
          <w:p w14:paraId="5A13C8AA" w14:textId="2A3372A4" w:rsidR="001A460C" w:rsidRDefault="001A460C" w:rsidP="001A460C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SARs received</w:t>
            </w:r>
          </w:p>
        </w:tc>
        <w:tc>
          <w:tcPr>
            <w:tcW w:w="2597" w:type="dxa"/>
            <w:shd w:val="clear" w:color="auto" w:fill="D9D9D9" w:themeFill="background1" w:themeFillShade="D9"/>
          </w:tcPr>
          <w:p w14:paraId="440612C0" w14:textId="7EEF268B" w:rsidR="001A460C" w:rsidRDefault="001A460C" w:rsidP="001A460C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Compliance Rate</w:t>
            </w:r>
          </w:p>
        </w:tc>
        <w:tc>
          <w:tcPr>
            <w:tcW w:w="2597" w:type="dxa"/>
            <w:shd w:val="clear" w:color="auto" w:fill="D9D9D9" w:themeFill="background1" w:themeFillShade="D9"/>
          </w:tcPr>
          <w:p w14:paraId="380A264B" w14:textId="474386A6" w:rsidR="001A460C" w:rsidRDefault="001A460C" w:rsidP="001A460C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Outstanding</w:t>
            </w:r>
          </w:p>
        </w:tc>
      </w:tr>
      <w:tr w:rsidR="00F704AE" w14:paraId="477C20B8" w14:textId="77777777" w:rsidTr="001A460C">
        <w:tc>
          <w:tcPr>
            <w:tcW w:w="1838" w:type="dxa"/>
          </w:tcPr>
          <w:p w14:paraId="39B9B988" w14:textId="13A58534" w:rsidR="00F704AE" w:rsidRPr="001A460C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A460C">
              <w:rPr>
                <w:rFonts w:eastAsiaTheme="majorEastAsia" w:cstheme="majorBidi"/>
                <w:bCs/>
                <w:color w:val="000000" w:themeColor="text1"/>
                <w:szCs w:val="26"/>
              </w:rPr>
              <w:t>January</w:t>
            </w:r>
          </w:p>
        </w:tc>
        <w:tc>
          <w:tcPr>
            <w:tcW w:w="2596" w:type="dxa"/>
          </w:tcPr>
          <w:p w14:paraId="250F5CFE" w14:textId="58AEB0E1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682037">
              <w:t>681</w:t>
            </w:r>
          </w:p>
        </w:tc>
        <w:tc>
          <w:tcPr>
            <w:tcW w:w="2597" w:type="dxa"/>
          </w:tcPr>
          <w:p w14:paraId="596F33CB" w14:textId="55C6B584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4E75B7">
              <w:t>79%</w:t>
            </w:r>
          </w:p>
        </w:tc>
        <w:tc>
          <w:tcPr>
            <w:tcW w:w="2597" w:type="dxa"/>
          </w:tcPr>
          <w:p w14:paraId="1A22E371" w14:textId="0F89B7A2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1F2CF0">
              <w:t>1</w:t>
            </w:r>
          </w:p>
        </w:tc>
      </w:tr>
      <w:tr w:rsidR="00F704AE" w14:paraId="7C1F21E8" w14:textId="77777777" w:rsidTr="001A460C">
        <w:tc>
          <w:tcPr>
            <w:tcW w:w="1838" w:type="dxa"/>
          </w:tcPr>
          <w:p w14:paraId="772ABA34" w14:textId="41A04FA9" w:rsidR="00F704AE" w:rsidRPr="001A460C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A460C">
              <w:rPr>
                <w:rFonts w:eastAsiaTheme="majorEastAsia" w:cstheme="majorBidi"/>
                <w:bCs/>
                <w:color w:val="000000" w:themeColor="text1"/>
                <w:szCs w:val="26"/>
              </w:rPr>
              <w:t>February</w:t>
            </w:r>
          </w:p>
        </w:tc>
        <w:tc>
          <w:tcPr>
            <w:tcW w:w="2596" w:type="dxa"/>
          </w:tcPr>
          <w:p w14:paraId="3D366124" w14:textId="40C47F7B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682037">
              <w:t>641</w:t>
            </w:r>
          </w:p>
        </w:tc>
        <w:tc>
          <w:tcPr>
            <w:tcW w:w="2597" w:type="dxa"/>
          </w:tcPr>
          <w:p w14:paraId="6A396C7B" w14:textId="432E63FE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4E75B7">
              <w:t>75%</w:t>
            </w:r>
          </w:p>
        </w:tc>
        <w:tc>
          <w:tcPr>
            <w:tcW w:w="2597" w:type="dxa"/>
          </w:tcPr>
          <w:p w14:paraId="380392AF" w14:textId="31566C1D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1F2CF0">
              <w:t>1</w:t>
            </w:r>
          </w:p>
        </w:tc>
      </w:tr>
      <w:tr w:rsidR="00F704AE" w14:paraId="2D77E7E1" w14:textId="77777777" w:rsidTr="001A460C">
        <w:tc>
          <w:tcPr>
            <w:tcW w:w="1838" w:type="dxa"/>
          </w:tcPr>
          <w:p w14:paraId="066056EF" w14:textId="7D3D2F72" w:rsidR="00F704AE" w:rsidRPr="001A460C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A460C">
              <w:rPr>
                <w:rFonts w:eastAsiaTheme="majorEastAsia" w:cstheme="majorBidi"/>
                <w:bCs/>
                <w:color w:val="000000" w:themeColor="text1"/>
                <w:szCs w:val="26"/>
              </w:rPr>
              <w:t>March</w:t>
            </w:r>
          </w:p>
        </w:tc>
        <w:tc>
          <w:tcPr>
            <w:tcW w:w="2596" w:type="dxa"/>
          </w:tcPr>
          <w:p w14:paraId="38F3BF9A" w14:textId="4D5B600F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682037">
              <w:t>640</w:t>
            </w:r>
          </w:p>
        </w:tc>
        <w:tc>
          <w:tcPr>
            <w:tcW w:w="2597" w:type="dxa"/>
          </w:tcPr>
          <w:p w14:paraId="7A0A5A4C" w14:textId="65BED559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4E75B7">
              <w:t>44%</w:t>
            </w:r>
          </w:p>
        </w:tc>
        <w:tc>
          <w:tcPr>
            <w:tcW w:w="2597" w:type="dxa"/>
          </w:tcPr>
          <w:p w14:paraId="7A371044" w14:textId="5B7E5918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1F2CF0">
              <w:t>2</w:t>
            </w:r>
          </w:p>
        </w:tc>
      </w:tr>
      <w:tr w:rsidR="00F704AE" w14:paraId="1A36E7E0" w14:textId="77777777" w:rsidTr="001A460C">
        <w:tc>
          <w:tcPr>
            <w:tcW w:w="1838" w:type="dxa"/>
          </w:tcPr>
          <w:p w14:paraId="2D079847" w14:textId="1751398D" w:rsidR="00F704AE" w:rsidRPr="001A460C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A460C">
              <w:rPr>
                <w:rFonts w:eastAsiaTheme="majorEastAsia" w:cstheme="majorBidi"/>
                <w:bCs/>
                <w:color w:val="000000" w:themeColor="text1"/>
                <w:szCs w:val="26"/>
              </w:rPr>
              <w:t>April</w:t>
            </w:r>
          </w:p>
        </w:tc>
        <w:tc>
          <w:tcPr>
            <w:tcW w:w="2596" w:type="dxa"/>
          </w:tcPr>
          <w:p w14:paraId="1769981D" w14:textId="4580F923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682037">
              <w:t>646</w:t>
            </w:r>
          </w:p>
        </w:tc>
        <w:tc>
          <w:tcPr>
            <w:tcW w:w="2597" w:type="dxa"/>
          </w:tcPr>
          <w:p w14:paraId="48FD4C7A" w14:textId="650B9B82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4E75B7">
              <w:t>48%</w:t>
            </w:r>
          </w:p>
        </w:tc>
        <w:tc>
          <w:tcPr>
            <w:tcW w:w="2597" w:type="dxa"/>
          </w:tcPr>
          <w:p w14:paraId="386BCA26" w14:textId="192CCF47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1F2CF0">
              <w:t>3</w:t>
            </w:r>
          </w:p>
        </w:tc>
      </w:tr>
      <w:tr w:rsidR="00F704AE" w14:paraId="7DC4D5A2" w14:textId="77777777" w:rsidTr="001A460C">
        <w:tc>
          <w:tcPr>
            <w:tcW w:w="1838" w:type="dxa"/>
          </w:tcPr>
          <w:p w14:paraId="1D1F02F7" w14:textId="2A3E06F3" w:rsidR="00F704AE" w:rsidRPr="001A460C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A460C">
              <w:rPr>
                <w:rFonts w:eastAsiaTheme="majorEastAsia" w:cstheme="majorBidi"/>
                <w:bCs/>
                <w:color w:val="000000" w:themeColor="text1"/>
                <w:szCs w:val="26"/>
              </w:rPr>
              <w:t>May</w:t>
            </w:r>
          </w:p>
        </w:tc>
        <w:tc>
          <w:tcPr>
            <w:tcW w:w="2596" w:type="dxa"/>
          </w:tcPr>
          <w:p w14:paraId="49C18177" w14:textId="7FE29DCF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682037">
              <w:t>563</w:t>
            </w:r>
          </w:p>
        </w:tc>
        <w:tc>
          <w:tcPr>
            <w:tcW w:w="2597" w:type="dxa"/>
          </w:tcPr>
          <w:p w14:paraId="1F9093DD" w14:textId="0959C4D0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4E75B7">
              <w:t>50%</w:t>
            </w:r>
          </w:p>
        </w:tc>
        <w:tc>
          <w:tcPr>
            <w:tcW w:w="2597" w:type="dxa"/>
          </w:tcPr>
          <w:p w14:paraId="088552C4" w14:textId="67189D4C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1F2CF0">
              <w:t>6</w:t>
            </w:r>
          </w:p>
        </w:tc>
      </w:tr>
      <w:tr w:rsidR="00F704AE" w14:paraId="2D33A7A7" w14:textId="77777777" w:rsidTr="001A460C">
        <w:tc>
          <w:tcPr>
            <w:tcW w:w="1838" w:type="dxa"/>
          </w:tcPr>
          <w:p w14:paraId="78D8D120" w14:textId="330F6891" w:rsidR="00F704AE" w:rsidRPr="001A460C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A460C">
              <w:rPr>
                <w:rFonts w:eastAsiaTheme="majorEastAsia" w:cstheme="majorBidi"/>
                <w:bCs/>
                <w:color w:val="000000" w:themeColor="text1"/>
                <w:szCs w:val="26"/>
              </w:rPr>
              <w:t>June</w:t>
            </w:r>
          </w:p>
        </w:tc>
        <w:tc>
          <w:tcPr>
            <w:tcW w:w="2596" w:type="dxa"/>
          </w:tcPr>
          <w:p w14:paraId="30DBACEA" w14:textId="33CD1632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682037">
              <w:t>751</w:t>
            </w:r>
          </w:p>
        </w:tc>
        <w:tc>
          <w:tcPr>
            <w:tcW w:w="2597" w:type="dxa"/>
          </w:tcPr>
          <w:p w14:paraId="7685633F" w14:textId="53E01955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4E75B7">
              <w:t>42%</w:t>
            </w:r>
          </w:p>
        </w:tc>
        <w:tc>
          <w:tcPr>
            <w:tcW w:w="2597" w:type="dxa"/>
          </w:tcPr>
          <w:p w14:paraId="763D6AB5" w14:textId="365769E4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1F2CF0">
              <w:t>14</w:t>
            </w:r>
          </w:p>
        </w:tc>
      </w:tr>
      <w:tr w:rsidR="00F704AE" w14:paraId="11F5357B" w14:textId="77777777" w:rsidTr="001A460C">
        <w:tc>
          <w:tcPr>
            <w:tcW w:w="1838" w:type="dxa"/>
          </w:tcPr>
          <w:p w14:paraId="6F9B8514" w14:textId="294DB00A" w:rsidR="00F704AE" w:rsidRPr="001A460C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A460C">
              <w:rPr>
                <w:rFonts w:eastAsiaTheme="majorEastAsia" w:cstheme="majorBidi"/>
                <w:bCs/>
                <w:color w:val="000000" w:themeColor="text1"/>
                <w:szCs w:val="26"/>
              </w:rPr>
              <w:t>July</w:t>
            </w:r>
          </w:p>
        </w:tc>
        <w:tc>
          <w:tcPr>
            <w:tcW w:w="2596" w:type="dxa"/>
          </w:tcPr>
          <w:p w14:paraId="3C4D37E4" w14:textId="5DD949B7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682037">
              <w:t>771</w:t>
            </w:r>
          </w:p>
        </w:tc>
        <w:tc>
          <w:tcPr>
            <w:tcW w:w="2597" w:type="dxa"/>
          </w:tcPr>
          <w:p w14:paraId="796607C2" w14:textId="5738AD71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4E75B7">
              <w:t>58%</w:t>
            </w:r>
          </w:p>
        </w:tc>
        <w:tc>
          <w:tcPr>
            <w:tcW w:w="2597" w:type="dxa"/>
          </w:tcPr>
          <w:p w14:paraId="5A4486D3" w14:textId="52861E47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1F2CF0">
              <w:t>42</w:t>
            </w:r>
          </w:p>
        </w:tc>
      </w:tr>
      <w:tr w:rsidR="00F704AE" w14:paraId="233BD6EE" w14:textId="77777777" w:rsidTr="001A460C">
        <w:tc>
          <w:tcPr>
            <w:tcW w:w="1838" w:type="dxa"/>
          </w:tcPr>
          <w:p w14:paraId="3D1D6504" w14:textId="1A920488" w:rsidR="00F704AE" w:rsidRPr="001A460C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A460C">
              <w:rPr>
                <w:rFonts w:eastAsiaTheme="majorEastAsia" w:cstheme="majorBidi"/>
                <w:bCs/>
                <w:color w:val="000000" w:themeColor="text1"/>
                <w:szCs w:val="26"/>
              </w:rPr>
              <w:t>August</w:t>
            </w:r>
          </w:p>
        </w:tc>
        <w:tc>
          <w:tcPr>
            <w:tcW w:w="2596" w:type="dxa"/>
          </w:tcPr>
          <w:p w14:paraId="2BB92964" w14:textId="73EDCB3E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682037">
              <w:t>901</w:t>
            </w:r>
          </w:p>
        </w:tc>
        <w:tc>
          <w:tcPr>
            <w:tcW w:w="2597" w:type="dxa"/>
          </w:tcPr>
          <w:p w14:paraId="79759A1F" w14:textId="3462A08B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4E75B7">
              <w:t>50%</w:t>
            </w:r>
          </w:p>
        </w:tc>
        <w:tc>
          <w:tcPr>
            <w:tcW w:w="2597" w:type="dxa"/>
          </w:tcPr>
          <w:p w14:paraId="2FA68B54" w14:textId="7E446A72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1F2CF0">
              <w:t>220</w:t>
            </w:r>
          </w:p>
        </w:tc>
      </w:tr>
      <w:tr w:rsidR="00F704AE" w14:paraId="5EC898DE" w14:textId="77777777" w:rsidTr="001A460C">
        <w:tc>
          <w:tcPr>
            <w:tcW w:w="1838" w:type="dxa"/>
          </w:tcPr>
          <w:p w14:paraId="18402CC1" w14:textId="292D6233" w:rsidR="00F704AE" w:rsidRPr="001A460C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A460C">
              <w:rPr>
                <w:rFonts w:eastAsiaTheme="majorEastAsia" w:cstheme="majorBidi"/>
                <w:bCs/>
                <w:color w:val="000000" w:themeColor="text1"/>
                <w:szCs w:val="26"/>
              </w:rPr>
              <w:t>September</w:t>
            </w:r>
          </w:p>
        </w:tc>
        <w:tc>
          <w:tcPr>
            <w:tcW w:w="2596" w:type="dxa"/>
          </w:tcPr>
          <w:p w14:paraId="7101A5C7" w14:textId="049AFA98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682037">
              <w:t>839</w:t>
            </w:r>
          </w:p>
        </w:tc>
        <w:tc>
          <w:tcPr>
            <w:tcW w:w="2597" w:type="dxa"/>
          </w:tcPr>
          <w:p w14:paraId="6741AFF0" w14:textId="46B5BBD4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4E75B7">
              <w:t>35%</w:t>
            </w:r>
          </w:p>
        </w:tc>
        <w:tc>
          <w:tcPr>
            <w:tcW w:w="2597" w:type="dxa"/>
          </w:tcPr>
          <w:p w14:paraId="5E0772B6" w14:textId="21B4A3C2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1F2CF0">
              <w:t>287</w:t>
            </w:r>
          </w:p>
        </w:tc>
      </w:tr>
      <w:tr w:rsidR="00F704AE" w14:paraId="46804E4D" w14:textId="77777777" w:rsidTr="001A460C">
        <w:tc>
          <w:tcPr>
            <w:tcW w:w="1838" w:type="dxa"/>
          </w:tcPr>
          <w:p w14:paraId="06971087" w14:textId="6994593C" w:rsidR="00F704AE" w:rsidRPr="001A460C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A460C">
              <w:rPr>
                <w:rFonts w:eastAsiaTheme="majorEastAsia" w:cstheme="majorBidi"/>
                <w:bCs/>
                <w:color w:val="000000" w:themeColor="text1"/>
                <w:szCs w:val="26"/>
              </w:rPr>
              <w:t>October</w:t>
            </w:r>
          </w:p>
        </w:tc>
        <w:tc>
          <w:tcPr>
            <w:tcW w:w="2596" w:type="dxa"/>
          </w:tcPr>
          <w:p w14:paraId="6C61D119" w14:textId="488C5071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682037">
              <w:t>880</w:t>
            </w:r>
          </w:p>
        </w:tc>
        <w:tc>
          <w:tcPr>
            <w:tcW w:w="2597" w:type="dxa"/>
          </w:tcPr>
          <w:p w14:paraId="7F9FA5E9" w14:textId="44F38ADC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4E75B7">
              <w:t>55%</w:t>
            </w:r>
          </w:p>
        </w:tc>
        <w:tc>
          <w:tcPr>
            <w:tcW w:w="2597" w:type="dxa"/>
          </w:tcPr>
          <w:p w14:paraId="2AACE956" w14:textId="29FB0532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1F2CF0">
              <w:t>297</w:t>
            </w:r>
          </w:p>
        </w:tc>
      </w:tr>
      <w:tr w:rsidR="00F704AE" w14:paraId="54A7AACA" w14:textId="77777777" w:rsidTr="001A460C">
        <w:tc>
          <w:tcPr>
            <w:tcW w:w="1838" w:type="dxa"/>
          </w:tcPr>
          <w:p w14:paraId="400F2F39" w14:textId="576B4426" w:rsidR="00F704AE" w:rsidRPr="001A460C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A460C">
              <w:rPr>
                <w:rFonts w:eastAsiaTheme="majorEastAsia" w:cstheme="majorBidi"/>
                <w:bCs/>
                <w:color w:val="000000" w:themeColor="text1"/>
                <w:szCs w:val="26"/>
              </w:rPr>
              <w:t>November</w:t>
            </w:r>
          </w:p>
        </w:tc>
        <w:tc>
          <w:tcPr>
            <w:tcW w:w="2596" w:type="dxa"/>
          </w:tcPr>
          <w:p w14:paraId="21936364" w14:textId="49F6D3DF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682037">
              <w:t>779</w:t>
            </w:r>
          </w:p>
        </w:tc>
        <w:tc>
          <w:tcPr>
            <w:tcW w:w="2597" w:type="dxa"/>
          </w:tcPr>
          <w:p w14:paraId="2E58CA52" w14:textId="4E22E167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4E75B7">
              <w:t>62%</w:t>
            </w:r>
          </w:p>
        </w:tc>
        <w:tc>
          <w:tcPr>
            <w:tcW w:w="2597" w:type="dxa"/>
          </w:tcPr>
          <w:p w14:paraId="1F568136" w14:textId="1E032017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1F2CF0">
              <w:t>218</w:t>
            </w:r>
          </w:p>
        </w:tc>
      </w:tr>
      <w:tr w:rsidR="00F704AE" w14:paraId="4458C9BB" w14:textId="77777777" w:rsidTr="001A460C">
        <w:tc>
          <w:tcPr>
            <w:tcW w:w="1838" w:type="dxa"/>
          </w:tcPr>
          <w:p w14:paraId="62B59BDA" w14:textId="36C3DE03" w:rsidR="00F704AE" w:rsidRPr="001A460C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A460C">
              <w:rPr>
                <w:rFonts w:eastAsiaTheme="majorEastAsia" w:cstheme="majorBidi"/>
                <w:bCs/>
                <w:color w:val="000000" w:themeColor="text1"/>
                <w:szCs w:val="26"/>
              </w:rPr>
              <w:t>December</w:t>
            </w:r>
          </w:p>
        </w:tc>
        <w:tc>
          <w:tcPr>
            <w:tcW w:w="2596" w:type="dxa"/>
          </w:tcPr>
          <w:p w14:paraId="6C28F84C" w14:textId="1D2ADD2B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682037">
              <w:t>618</w:t>
            </w:r>
          </w:p>
        </w:tc>
        <w:tc>
          <w:tcPr>
            <w:tcW w:w="2597" w:type="dxa"/>
          </w:tcPr>
          <w:p w14:paraId="7ACA7058" w14:textId="2B2E1133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4E75B7">
              <w:t>55%</w:t>
            </w:r>
          </w:p>
        </w:tc>
        <w:tc>
          <w:tcPr>
            <w:tcW w:w="2597" w:type="dxa"/>
          </w:tcPr>
          <w:p w14:paraId="4344E02C" w14:textId="78F2CC6C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1F2CF0">
              <w:t>186</w:t>
            </w:r>
          </w:p>
        </w:tc>
      </w:tr>
      <w:tr w:rsidR="00F704AE" w14:paraId="0A4B015A" w14:textId="77777777" w:rsidTr="001A460C">
        <w:tc>
          <w:tcPr>
            <w:tcW w:w="1838" w:type="dxa"/>
          </w:tcPr>
          <w:p w14:paraId="1D2D2C2A" w14:textId="33AE908E" w:rsidR="00F704AE" w:rsidRPr="001A460C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Total</w:t>
            </w:r>
          </w:p>
        </w:tc>
        <w:tc>
          <w:tcPr>
            <w:tcW w:w="2596" w:type="dxa"/>
          </w:tcPr>
          <w:p w14:paraId="69041269" w14:textId="296261BB" w:rsidR="00F704AE" w:rsidRPr="00682037" w:rsidRDefault="00F704AE" w:rsidP="00F704AE">
            <w:pPr>
              <w:tabs>
                <w:tab w:val="left" w:pos="5400"/>
              </w:tabs>
              <w:spacing w:line="240" w:lineRule="auto"/>
            </w:pPr>
            <w:r>
              <w:t>8,710</w:t>
            </w:r>
          </w:p>
        </w:tc>
        <w:tc>
          <w:tcPr>
            <w:tcW w:w="2597" w:type="dxa"/>
          </w:tcPr>
          <w:p w14:paraId="5C43271A" w14:textId="215690C5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4E75B7">
              <w:t>79%</w:t>
            </w:r>
          </w:p>
        </w:tc>
        <w:tc>
          <w:tcPr>
            <w:tcW w:w="2597" w:type="dxa"/>
          </w:tcPr>
          <w:p w14:paraId="173FEBF0" w14:textId="10FC94BC" w:rsidR="00F704AE" w:rsidRDefault="00F704AE" w:rsidP="00F704AE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1F2CF0">
              <w:t>1</w:t>
            </w:r>
            <w:r>
              <w:t>,</w:t>
            </w:r>
            <w:r w:rsidRPr="001F2CF0">
              <w:t>277</w:t>
            </w:r>
          </w:p>
        </w:tc>
      </w:tr>
    </w:tbl>
    <w:p w14:paraId="110F9BF7" w14:textId="77777777" w:rsidR="001A460C" w:rsidRDefault="001A460C" w:rsidP="001A460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077BE70" w14:textId="77777777" w:rsidR="001A460C" w:rsidRPr="001A460C" w:rsidRDefault="001A460C" w:rsidP="00F704A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A460C">
        <w:rPr>
          <w:rFonts w:eastAsiaTheme="majorEastAsia" w:cstheme="majorBidi"/>
          <w:b/>
          <w:color w:val="000000" w:themeColor="text1"/>
          <w:szCs w:val="26"/>
        </w:rPr>
        <w:lastRenderedPageBreak/>
        <w:t>Details of how compliance with answering Subject Access Requests is monitored within Police Scotland (for instance, if performance reports go to certain committees on a quarterly or annual basis; or if there is an escalation process within Police Scotland's management structure if targets are not being met).</w:t>
      </w:r>
    </w:p>
    <w:p w14:paraId="1F35443E" w14:textId="71ADADCB" w:rsidR="00EF0FBB" w:rsidRDefault="00F704AE" w:rsidP="00793DD5">
      <w:pPr>
        <w:tabs>
          <w:tab w:val="left" w:pos="5400"/>
        </w:tabs>
      </w:pPr>
      <w:r>
        <w:t>Compliance is monitored on a weekly basis by the management team and is also thereafter reported to various wider groups within the division on a monthly and quarterly basis.  It is also reported to the Information Commissioner’s Office (as the regulator for compliance with the Data Protection Act 2018 and GDPR).</w:t>
      </w:r>
    </w:p>
    <w:p w14:paraId="4355BCA2" w14:textId="77777777" w:rsidR="00662F4E" w:rsidRDefault="00F704AE" w:rsidP="00793DD5">
      <w:pPr>
        <w:tabs>
          <w:tab w:val="left" w:pos="5400"/>
        </w:tabs>
      </w:pPr>
      <w:r>
        <w:t xml:space="preserve">It should be noted that the volume of Subject Access Requests received by Police Scotland has increased significantly </w:t>
      </w:r>
      <w:r w:rsidR="00662F4E">
        <w:t>over the past few years.</w:t>
      </w:r>
    </w:p>
    <w:p w14:paraId="34BDABB8" w14:textId="7D736E4E" w:rsidR="00255F1E" w:rsidRDefault="00662F4E" w:rsidP="00793DD5">
      <w:pPr>
        <w:tabs>
          <w:tab w:val="left" w:pos="5400"/>
        </w:tabs>
      </w:pPr>
      <w:r>
        <w:t>For example, in 2020 Police Scotland received 5,559 requests - meaning we have experienced an increase of 57% over a four-year period.</w:t>
      </w:r>
    </w:p>
    <w:p w14:paraId="34BDABBD" w14:textId="5E00D7B3" w:rsidR="00BF6B81" w:rsidRDefault="00662F4E" w:rsidP="00793DD5">
      <w:pPr>
        <w:tabs>
          <w:tab w:val="left" w:pos="5400"/>
        </w:tabs>
      </w:pPr>
      <w:r w:rsidRPr="00662F4E">
        <w:t xml:space="preserve">We continue to endeavour to meet the statutory calendar month deadline </w:t>
      </w:r>
      <w:r>
        <w:t>wherever possible.</w:t>
      </w:r>
    </w:p>
    <w:p w14:paraId="364655FF" w14:textId="77777777" w:rsidR="00662F4E" w:rsidRPr="00B11A55" w:rsidRDefault="00662F4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2B6F8B6"/>
    <w:lvl w:ilvl="0">
      <w:numFmt w:val="bullet"/>
      <w:lvlText w:val="*"/>
      <w:lvlJc w:val="left"/>
    </w:lvl>
  </w:abstractNum>
  <w:abstractNum w:abstractNumId="1" w15:restartNumberingAfterBreak="0">
    <w:nsid w:val="41C569E0"/>
    <w:multiLevelType w:val="hybridMultilevel"/>
    <w:tmpl w:val="18E0C3EC"/>
    <w:lvl w:ilvl="0" w:tplc="D0ACCF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369887928">
    <w:abstractNumId w:val="1"/>
  </w:num>
  <w:num w:numId="3" w16cid:durableId="1869293670">
    <w:abstractNumId w:val="0"/>
    <w:lvlOverride w:ilvl="0">
      <w:lvl w:ilvl="0">
        <w:numFmt w:val="bullet"/>
        <w:lvlText w:val=""/>
        <w:legacy w:legacy="1" w:legacySpace="0" w:legacyIndent="24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5483"/>
    <w:rsid w:val="000E6526"/>
    <w:rsid w:val="00141533"/>
    <w:rsid w:val="00167528"/>
    <w:rsid w:val="00195CC4"/>
    <w:rsid w:val="001A460C"/>
    <w:rsid w:val="00203DA0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08AC"/>
    <w:rsid w:val="004E1605"/>
    <w:rsid w:val="004F653C"/>
    <w:rsid w:val="00540A52"/>
    <w:rsid w:val="00557306"/>
    <w:rsid w:val="00645CFA"/>
    <w:rsid w:val="00662F4E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26ACD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31B"/>
    <w:rsid w:val="00D47E36"/>
    <w:rsid w:val="00E55D79"/>
    <w:rsid w:val="00EE2373"/>
    <w:rsid w:val="00EF0FBB"/>
    <w:rsid w:val="00EF4761"/>
    <w:rsid w:val="00F704A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448</Words>
  <Characters>2554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