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D93357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A3F5D">
              <w:t>4</w:t>
            </w:r>
            <w:r>
              <w:t>-</w:t>
            </w:r>
            <w:r w:rsidR="00CA3F5D">
              <w:t>3248</w:t>
            </w:r>
          </w:p>
          <w:p w14:paraId="34BDABA6" w14:textId="5D11C04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A3817">
              <w:t>05</w:t>
            </w:r>
            <w:r w:rsidR="006D5799">
              <w:t xml:space="preserve"> </w:t>
            </w:r>
            <w:r w:rsidR="00776E38">
              <w:t xml:space="preserve">February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69C56DB" w14:textId="01C787F2" w:rsidR="00CA3F5D" w:rsidRPr="00CA3F5D" w:rsidRDefault="00CA3F5D" w:rsidP="00CA3F5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A3F5D">
        <w:rPr>
          <w:rFonts w:eastAsiaTheme="majorEastAsia" w:cstheme="majorBidi"/>
          <w:b/>
          <w:color w:val="000000" w:themeColor="text1"/>
          <w:szCs w:val="26"/>
        </w:rPr>
        <w:t>Please could you assist with the following queries under the Freedom of Information Act (2000).</w:t>
      </w:r>
    </w:p>
    <w:p w14:paraId="36BCCD13" w14:textId="77777777" w:rsidR="00CA3F5D" w:rsidRPr="00CA3F5D" w:rsidRDefault="00CA3F5D" w:rsidP="00CA3F5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A3F5D">
        <w:rPr>
          <w:rFonts w:eastAsiaTheme="majorEastAsia" w:cstheme="majorBidi"/>
          <w:b/>
          <w:color w:val="000000" w:themeColor="text1"/>
          <w:szCs w:val="26"/>
        </w:rPr>
        <w:t>1.      How many police officers have taken sick leave during the period 01/01/2023-31/12/2023?</w:t>
      </w:r>
    </w:p>
    <w:p w14:paraId="390995ED" w14:textId="77777777" w:rsidR="008468D6" w:rsidRPr="008468D6" w:rsidRDefault="008468D6" w:rsidP="008468D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8468D6">
        <w:rPr>
          <w:rFonts w:eastAsiaTheme="majorEastAsia" w:cstheme="majorBidi"/>
          <w:bCs/>
          <w:color w:val="000000" w:themeColor="text1"/>
          <w:szCs w:val="26"/>
        </w:rPr>
        <w:t>For 2023 there were 12,141 officers absent due to sick leave.</w:t>
      </w:r>
    </w:p>
    <w:p w14:paraId="0414309E" w14:textId="77777777" w:rsidR="00CA3F5D" w:rsidRPr="00CA3F5D" w:rsidRDefault="00CA3F5D" w:rsidP="00CA3F5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1599C14B" w14:textId="77777777" w:rsidR="00CA3F5D" w:rsidRPr="00CA3F5D" w:rsidRDefault="00CA3F5D" w:rsidP="00CA3F5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A3F5D">
        <w:rPr>
          <w:rFonts w:eastAsiaTheme="majorEastAsia" w:cstheme="majorBidi"/>
          <w:b/>
          <w:color w:val="000000" w:themeColor="text1"/>
          <w:szCs w:val="26"/>
        </w:rPr>
        <w:t>2.      How many of those sickness absences were attributed to mental health?</w:t>
      </w:r>
    </w:p>
    <w:p w14:paraId="41C7124D" w14:textId="77777777" w:rsidR="008468D6" w:rsidRPr="008468D6" w:rsidRDefault="008468D6" w:rsidP="008468D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8468D6">
        <w:rPr>
          <w:rFonts w:eastAsiaTheme="majorEastAsia" w:cstheme="majorBidi"/>
          <w:bCs/>
          <w:color w:val="000000" w:themeColor="text1"/>
          <w:szCs w:val="26"/>
        </w:rPr>
        <w:t>There were 1,377 officers absent due to the absence category ‘Psychological Disorders’</w:t>
      </w:r>
    </w:p>
    <w:p w14:paraId="46990DF2" w14:textId="77777777" w:rsidR="00CA3F5D" w:rsidRPr="00CA3F5D" w:rsidRDefault="00CA3F5D" w:rsidP="00CA3F5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8B8E37D" w14:textId="77777777" w:rsidR="00CA3F5D" w:rsidRPr="00CA3F5D" w:rsidRDefault="00CA3F5D" w:rsidP="00CA3F5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A3F5D">
        <w:rPr>
          <w:rFonts w:eastAsiaTheme="majorEastAsia" w:cstheme="majorBidi"/>
          <w:b/>
          <w:color w:val="000000" w:themeColor="text1"/>
          <w:szCs w:val="26"/>
        </w:rPr>
        <w:t>3.      For police officers taking mental health related sickness within this period what were the mental health conditions cited?</w:t>
      </w:r>
    </w:p>
    <w:p w14:paraId="20BBA961" w14:textId="5F7C9A18" w:rsidR="008468D6" w:rsidRPr="008468D6" w:rsidRDefault="008468D6" w:rsidP="008468D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8468D6">
        <w:rPr>
          <w:rFonts w:eastAsiaTheme="majorEastAsia" w:cstheme="majorBidi"/>
          <w:bCs/>
          <w:color w:val="000000" w:themeColor="text1"/>
          <w:szCs w:val="26"/>
        </w:rPr>
        <w:t xml:space="preserve">The ‘Psychological Disorders’ include anxiety, bereavement reaction, debility, depression, insomnia, nervous/psychological, other mental disorders, other psychological disorders, other stress, post-natal depression, </w:t>
      </w:r>
      <w:r w:rsidR="00DE3BB7" w:rsidRPr="008468D6">
        <w:rPr>
          <w:rFonts w:eastAsiaTheme="majorEastAsia" w:cstheme="majorBidi"/>
          <w:bCs/>
          <w:color w:val="000000" w:themeColor="text1"/>
          <w:szCs w:val="26"/>
        </w:rPr>
        <w:t>post-traumatic</w:t>
      </w:r>
      <w:r w:rsidRPr="008468D6">
        <w:rPr>
          <w:rFonts w:eastAsiaTheme="majorEastAsia" w:cstheme="majorBidi"/>
          <w:bCs/>
          <w:color w:val="000000" w:themeColor="text1"/>
          <w:szCs w:val="26"/>
        </w:rPr>
        <w:t xml:space="preserve"> stress and stress.</w:t>
      </w:r>
    </w:p>
    <w:p w14:paraId="67FC25CC" w14:textId="77777777" w:rsidR="00CA3F5D" w:rsidRPr="00CA3F5D" w:rsidRDefault="00CA3F5D" w:rsidP="00CA3F5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4F42F8D2" w14:textId="77777777" w:rsidR="00CA3F5D" w:rsidRPr="00CA3F5D" w:rsidRDefault="00CA3F5D" w:rsidP="00CA3F5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A3F5D">
        <w:rPr>
          <w:rFonts w:eastAsiaTheme="majorEastAsia" w:cstheme="majorBidi"/>
          <w:b/>
          <w:color w:val="000000" w:themeColor="text1"/>
          <w:szCs w:val="26"/>
        </w:rPr>
        <w:t>4.      How many serving police officers committed suicide between the period of 01/01/2023-31/01/2024?</w:t>
      </w:r>
    </w:p>
    <w:p w14:paraId="575077D7" w14:textId="2CE53366" w:rsidR="00CA3F5D" w:rsidRPr="00DE3BB7" w:rsidRDefault="00DE3BB7" w:rsidP="00CA3F5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DE3BB7">
        <w:rPr>
          <w:rFonts w:eastAsiaTheme="majorEastAsia" w:cstheme="majorBidi"/>
          <w:bCs/>
          <w:color w:val="000000" w:themeColor="text1"/>
          <w:szCs w:val="26"/>
        </w:rPr>
        <w:t xml:space="preserve">During this time period, 2 officers committed suicide. </w:t>
      </w:r>
    </w:p>
    <w:p w14:paraId="2588426F" w14:textId="77777777" w:rsidR="00DE3BB7" w:rsidRPr="00CA3F5D" w:rsidRDefault="00DE3BB7" w:rsidP="00CA3F5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45124DFE" w14:textId="77777777" w:rsidR="00CA3F5D" w:rsidRPr="00CA3F5D" w:rsidRDefault="00CA3F5D" w:rsidP="00CA3F5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A3F5D">
        <w:rPr>
          <w:rFonts w:eastAsiaTheme="majorEastAsia" w:cstheme="majorBidi"/>
          <w:b/>
          <w:color w:val="000000" w:themeColor="text1"/>
          <w:szCs w:val="26"/>
        </w:rPr>
        <w:t>5.      Could data pertaining to sickness absence, conditions and suicide be sectioned into the demographics of age, gender and rank?</w:t>
      </w:r>
    </w:p>
    <w:p w14:paraId="08E99E3B" w14:textId="77777777" w:rsidR="0018695D" w:rsidRDefault="0018695D" w:rsidP="0018695D">
      <w:pPr>
        <w:rPr>
          <w:lang w:eastAsia="en-GB"/>
        </w:rPr>
      </w:pPr>
      <w:r>
        <w:rPr>
          <w:lang w:eastAsia="en-GB"/>
        </w:rPr>
        <w:lastRenderedPageBreak/>
        <w:t>The tables provide the number of officers, who have been absent for psychological disorders by rank, sex, and age.  </w:t>
      </w:r>
    </w:p>
    <w:p w14:paraId="0229EE72" w14:textId="4E6F4033" w:rsidR="0018695D" w:rsidRDefault="0018695D" w:rsidP="0018695D">
      <w:r>
        <w:t xml:space="preserve">An individual will be counted once per category of the breakdown requested. For example: if an individual has had an absence whilst in the 35-44 Age Group then they will be counted once within that breakdown, if they have then aged up into the 45-54 category (either during the same period of absence OR for a separate period of absence within the reporting year) they will also be counted ONCE within that category. </w:t>
      </w:r>
      <w:r w:rsidR="00DE3BB7">
        <w:t xml:space="preserve">For that reason, we do not believe the below data to be an accurate </w:t>
      </w:r>
      <w:r w:rsidR="00776E38">
        <w:t>reflection,</w:t>
      </w:r>
      <w:r w:rsidR="00DE3BB7">
        <w:t xml:space="preserve"> and this should be considered for reporting purposes. </w:t>
      </w:r>
    </w:p>
    <w:p w14:paraId="2EA56911" w14:textId="571AF5B1" w:rsidR="0018695D" w:rsidRDefault="00DE3BB7" w:rsidP="0018695D">
      <w:r>
        <w:t xml:space="preserve">This is also true </w:t>
      </w:r>
      <w:r w:rsidR="0018695D">
        <w:t>for rank</w:t>
      </w:r>
      <w:r>
        <w:t>,</w:t>
      </w:r>
      <w:r w:rsidR="0018695D">
        <w:t xml:space="preserve"> if the</w:t>
      </w:r>
      <w:r>
        <w:t xml:space="preserve"> individual changed rank </w:t>
      </w:r>
      <w:r w:rsidR="0018695D">
        <w:t xml:space="preserve">during the period of absence </w:t>
      </w:r>
      <w:r>
        <w:t>or had</w:t>
      </w:r>
      <w:r w:rsidR="0018695D">
        <w:t xml:space="preserve"> separate absences whilst at different ranks</w:t>
      </w:r>
      <w:r>
        <w:t>, they will be included more than once</w:t>
      </w:r>
      <w:r w:rsidR="00776E38">
        <w:t>, or reflected in the blank category.</w:t>
      </w:r>
    </w:p>
    <w:p w14:paraId="68E1BA45" w14:textId="77777777" w:rsidR="00776E38" w:rsidRDefault="00776E38" w:rsidP="0018695D"/>
    <w:tbl>
      <w:tblPr>
        <w:tblStyle w:val="TableGrid"/>
        <w:tblW w:w="5038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911"/>
        <w:gridCol w:w="950"/>
        <w:gridCol w:w="1177"/>
      </w:tblGrid>
      <w:tr w:rsidR="00DE3BB7" w:rsidRPr="00557306" w14:paraId="1A74E0DA" w14:textId="77777777" w:rsidTr="00776E38">
        <w:trPr>
          <w:tblHeader/>
        </w:trPr>
        <w:tc>
          <w:tcPr>
            <w:tcW w:w="2911" w:type="dxa"/>
            <w:shd w:val="clear" w:color="auto" w:fill="D9D9D9" w:themeFill="background1" w:themeFillShade="D9"/>
          </w:tcPr>
          <w:p w14:paraId="3BAB2999" w14:textId="3415F96F" w:rsidR="00DE3BB7" w:rsidRPr="00557306" w:rsidRDefault="00DE3BB7" w:rsidP="00142914">
            <w:pPr>
              <w:spacing w:line="240" w:lineRule="auto"/>
              <w:rPr>
                <w:b/>
              </w:rPr>
            </w:pPr>
            <w:r>
              <w:rPr>
                <w:b/>
              </w:rPr>
              <w:t>Sex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3067B796" w14:textId="4436954C" w:rsidR="00DE3BB7" w:rsidRPr="00557306" w:rsidRDefault="00DE3BB7" w:rsidP="00776E3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Male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14:paraId="15FAC9A4" w14:textId="13FAFA54" w:rsidR="00DE3BB7" w:rsidRPr="00557306" w:rsidRDefault="00DE3BB7" w:rsidP="00776E3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Female</w:t>
            </w:r>
          </w:p>
        </w:tc>
      </w:tr>
      <w:tr w:rsidR="00DE3BB7" w14:paraId="04D66C0C" w14:textId="77777777" w:rsidTr="00776E38">
        <w:tc>
          <w:tcPr>
            <w:tcW w:w="2911" w:type="dxa"/>
          </w:tcPr>
          <w:p w14:paraId="10E2D60D" w14:textId="3258DDBB" w:rsidR="00DE3BB7" w:rsidRDefault="00DE3BB7" w:rsidP="00142914">
            <w:pPr>
              <w:tabs>
                <w:tab w:val="left" w:pos="5400"/>
              </w:tabs>
              <w:spacing w:line="240" w:lineRule="auto"/>
            </w:pPr>
            <w:r>
              <w:t>Psychological Disorders</w:t>
            </w:r>
          </w:p>
        </w:tc>
        <w:tc>
          <w:tcPr>
            <w:tcW w:w="950" w:type="dxa"/>
          </w:tcPr>
          <w:p w14:paraId="693A75CE" w14:textId="77C9A48F" w:rsidR="00DE3BB7" w:rsidRDefault="00DE3BB7" w:rsidP="00776E38">
            <w:pPr>
              <w:tabs>
                <w:tab w:val="left" w:pos="5400"/>
              </w:tabs>
              <w:spacing w:line="240" w:lineRule="auto"/>
              <w:jc w:val="center"/>
            </w:pPr>
            <w:r>
              <w:t>763</w:t>
            </w:r>
          </w:p>
        </w:tc>
        <w:tc>
          <w:tcPr>
            <w:tcW w:w="1177" w:type="dxa"/>
          </w:tcPr>
          <w:p w14:paraId="02C64BD0" w14:textId="465E199E" w:rsidR="00DE3BB7" w:rsidRDefault="00DE3BB7" w:rsidP="00776E38">
            <w:pPr>
              <w:tabs>
                <w:tab w:val="left" w:pos="5400"/>
              </w:tabs>
              <w:spacing w:line="240" w:lineRule="auto"/>
              <w:jc w:val="center"/>
            </w:pPr>
            <w:r>
              <w:t>614</w:t>
            </w:r>
          </w:p>
        </w:tc>
      </w:tr>
    </w:tbl>
    <w:p w14:paraId="6A46EFC6" w14:textId="77777777" w:rsidR="00CA3F5D" w:rsidRDefault="00CA3F5D" w:rsidP="00CA3F5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tbl>
      <w:tblPr>
        <w:tblStyle w:val="TableGrid"/>
        <w:tblW w:w="7731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911"/>
        <w:gridCol w:w="964"/>
        <w:gridCol w:w="964"/>
        <w:gridCol w:w="964"/>
        <w:gridCol w:w="964"/>
        <w:gridCol w:w="964"/>
      </w:tblGrid>
      <w:tr w:rsidR="00776E38" w:rsidRPr="00557306" w14:paraId="1532E792" w14:textId="2FA76A63" w:rsidTr="00776E38">
        <w:trPr>
          <w:tblHeader/>
        </w:trPr>
        <w:tc>
          <w:tcPr>
            <w:tcW w:w="2911" w:type="dxa"/>
            <w:shd w:val="clear" w:color="auto" w:fill="D9D9D9" w:themeFill="background1" w:themeFillShade="D9"/>
          </w:tcPr>
          <w:p w14:paraId="45E3ADAD" w14:textId="10BD17A7" w:rsidR="00776E38" w:rsidRPr="00557306" w:rsidRDefault="00776E38" w:rsidP="00142914">
            <w:pPr>
              <w:spacing w:line="240" w:lineRule="auto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4A8AA9E0" w14:textId="304123E0" w:rsidR="00776E38" w:rsidRPr="00557306" w:rsidRDefault="00776E38" w:rsidP="00776E3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16-24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44A3E305" w14:textId="1E80EE93" w:rsidR="00776E38" w:rsidRPr="00557306" w:rsidRDefault="00776E38" w:rsidP="00776E3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25-34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5E491F31" w14:textId="3B3B58D5" w:rsidR="00776E38" w:rsidRPr="00557306" w:rsidRDefault="00776E38" w:rsidP="00776E3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35-44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363E759D" w14:textId="27BB1583" w:rsidR="00776E38" w:rsidRPr="00557306" w:rsidRDefault="00776E38" w:rsidP="00776E3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45-54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44A9261D" w14:textId="38459350" w:rsidR="00776E38" w:rsidRDefault="00776E38" w:rsidP="00776E3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55-64</w:t>
            </w:r>
          </w:p>
        </w:tc>
      </w:tr>
      <w:tr w:rsidR="00776E38" w14:paraId="78DA22DB" w14:textId="282811AF" w:rsidTr="00776E38">
        <w:tc>
          <w:tcPr>
            <w:tcW w:w="2911" w:type="dxa"/>
          </w:tcPr>
          <w:p w14:paraId="5CEA9637" w14:textId="1058C70E" w:rsidR="00776E38" w:rsidRDefault="00776E38" w:rsidP="00142914">
            <w:pPr>
              <w:tabs>
                <w:tab w:val="left" w:pos="5400"/>
              </w:tabs>
              <w:spacing w:line="240" w:lineRule="auto"/>
            </w:pPr>
            <w:r>
              <w:t>Psychological Disorders</w:t>
            </w:r>
          </w:p>
        </w:tc>
        <w:tc>
          <w:tcPr>
            <w:tcW w:w="964" w:type="dxa"/>
          </w:tcPr>
          <w:p w14:paraId="2E91B571" w14:textId="0E180E8D" w:rsidR="00776E38" w:rsidRDefault="00776E38" w:rsidP="00776E38">
            <w:pPr>
              <w:tabs>
                <w:tab w:val="left" w:pos="5400"/>
              </w:tabs>
              <w:spacing w:line="240" w:lineRule="auto"/>
              <w:jc w:val="center"/>
            </w:pPr>
            <w:r>
              <w:t>33</w:t>
            </w:r>
          </w:p>
        </w:tc>
        <w:tc>
          <w:tcPr>
            <w:tcW w:w="964" w:type="dxa"/>
          </w:tcPr>
          <w:p w14:paraId="26EA7463" w14:textId="2EBB0CC4" w:rsidR="00776E38" w:rsidRDefault="00776E38" w:rsidP="00776E38">
            <w:pPr>
              <w:tabs>
                <w:tab w:val="left" w:pos="5400"/>
              </w:tabs>
              <w:spacing w:line="240" w:lineRule="auto"/>
              <w:jc w:val="center"/>
            </w:pPr>
            <w:r>
              <w:t>397</w:t>
            </w:r>
          </w:p>
        </w:tc>
        <w:tc>
          <w:tcPr>
            <w:tcW w:w="964" w:type="dxa"/>
          </w:tcPr>
          <w:p w14:paraId="0B7FC69F" w14:textId="00BB30C9" w:rsidR="00776E38" w:rsidRDefault="00776E38" w:rsidP="00776E38">
            <w:pPr>
              <w:tabs>
                <w:tab w:val="left" w:pos="5400"/>
              </w:tabs>
              <w:spacing w:line="240" w:lineRule="auto"/>
              <w:jc w:val="center"/>
            </w:pPr>
            <w:r>
              <w:t>542</w:t>
            </w:r>
          </w:p>
        </w:tc>
        <w:tc>
          <w:tcPr>
            <w:tcW w:w="964" w:type="dxa"/>
          </w:tcPr>
          <w:p w14:paraId="3FF36E45" w14:textId="411F37AD" w:rsidR="00776E38" w:rsidRDefault="00776E38" w:rsidP="00776E38">
            <w:pPr>
              <w:tabs>
                <w:tab w:val="left" w:pos="5400"/>
              </w:tabs>
              <w:spacing w:line="240" w:lineRule="auto"/>
              <w:jc w:val="center"/>
            </w:pPr>
            <w:r>
              <w:t>381</w:t>
            </w:r>
          </w:p>
        </w:tc>
        <w:tc>
          <w:tcPr>
            <w:tcW w:w="964" w:type="dxa"/>
          </w:tcPr>
          <w:p w14:paraId="243B36AD" w14:textId="71C97712" w:rsidR="00776E38" w:rsidRDefault="00776E38" w:rsidP="00776E38">
            <w:pPr>
              <w:tabs>
                <w:tab w:val="left" w:pos="5400"/>
              </w:tabs>
              <w:spacing w:line="240" w:lineRule="auto"/>
              <w:jc w:val="center"/>
            </w:pPr>
            <w:r>
              <w:t>37</w:t>
            </w:r>
          </w:p>
        </w:tc>
      </w:tr>
    </w:tbl>
    <w:p w14:paraId="4323D4B9" w14:textId="77777777" w:rsidR="00DE3BB7" w:rsidRDefault="00DE3BB7" w:rsidP="00CA3F5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tbl>
      <w:tblPr>
        <w:tblStyle w:val="TableGrid"/>
        <w:tblW w:w="9384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911"/>
        <w:gridCol w:w="1004"/>
        <w:gridCol w:w="683"/>
        <w:gridCol w:w="1137"/>
        <w:gridCol w:w="1283"/>
        <w:gridCol w:w="1310"/>
        <w:gridCol w:w="1056"/>
      </w:tblGrid>
      <w:tr w:rsidR="00776E38" w:rsidRPr="00557306" w14:paraId="7B20833F" w14:textId="1442BFA5" w:rsidTr="00776E38">
        <w:trPr>
          <w:tblHeader/>
        </w:trPr>
        <w:tc>
          <w:tcPr>
            <w:tcW w:w="2911" w:type="dxa"/>
            <w:shd w:val="clear" w:color="auto" w:fill="D9D9D9" w:themeFill="background1" w:themeFillShade="D9"/>
          </w:tcPr>
          <w:p w14:paraId="5FF4532E" w14:textId="043545CE" w:rsidR="00776E38" w:rsidRPr="00557306" w:rsidRDefault="00776E38" w:rsidP="00142914">
            <w:pPr>
              <w:spacing w:line="240" w:lineRule="auto"/>
              <w:rPr>
                <w:b/>
              </w:rPr>
            </w:pPr>
            <w:r>
              <w:rPr>
                <w:b/>
              </w:rPr>
              <w:t>Rank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3B27FC2E" w14:textId="350559FC" w:rsidR="00776E38" w:rsidRPr="00557306" w:rsidRDefault="00776E38" w:rsidP="00776E3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Blank</w:t>
            </w:r>
          </w:p>
        </w:tc>
        <w:tc>
          <w:tcPr>
            <w:tcW w:w="683" w:type="dxa"/>
            <w:shd w:val="clear" w:color="auto" w:fill="D9D9D9" w:themeFill="background1" w:themeFillShade="D9"/>
          </w:tcPr>
          <w:p w14:paraId="08023CD8" w14:textId="655225BB" w:rsidR="00776E38" w:rsidRPr="00557306" w:rsidRDefault="00776E38" w:rsidP="00776E3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CS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14:paraId="58E4CC8F" w14:textId="46EC2EC7" w:rsidR="00776E38" w:rsidRPr="00557306" w:rsidRDefault="00776E38" w:rsidP="00776E3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CI/ DCI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5C887C97" w14:textId="0CA81F1E" w:rsidR="00776E38" w:rsidRPr="00557306" w:rsidRDefault="00776E38" w:rsidP="00776E3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INSP/ DI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14:paraId="5FBEDE6D" w14:textId="4E1D21BE" w:rsidR="00776E38" w:rsidRPr="00557306" w:rsidRDefault="00776E38" w:rsidP="00776E3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SGT/ DS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3867F25C" w14:textId="69A3FEB4" w:rsidR="00776E38" w:rsidRPr="00557306" w:rsidRDefault="00776E38" w:rsidP="00776E3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PC/DC</w:t>
            </w:r>
          </w:p>
        </w:tc>
      </w:tr>
      <w:tr w:rsidR="00776E38" w14:paraId="54332865" w14:textId="06C98972" w:rsidTr="00776E38">
        <w:tc>
          <w:tcPr>
            <w:tcW w:w="2911" w:type="dxa"/>
          </w:tcPr>
          <w:p w14:paraId="2957F249" w14:textId="6C46E2CD" w:rsidR="00776E38" w:rsidRDefault="00776E38" w:rsidP="00142914">
            <w:pPr>
              <w:tabs>
                <w:tab w:val="left" w:pos="5400"/>
              </w:tabs>
              <w:spacing w:line="240" w:lineRule="auto"/>
            </w:pPr>
            <w:r>
              <w:t>Psychological Disorders</w:t>
            </w:r>
          </w:p>
        </w:tc>
        <w:tc>
          <w:tcPr>
            <w:tcW w:w="1004" w:type="dxa"/>
          </w:tcPr>
          <w:p w14:paraId="2DF6B1AA" w14:textId="140F8801" w:rsidR="00776E38" w:rsidRDefault="00776E38" w:rsidP="00776E38">
            <w:pPr>
              <w:tabs>
                <w:tab w:val="left" w:pos="5400"/>
              </w:tabs>
              <w:spacing w:line="240" w:lineRule="auto"/>
              <w:jc w:val="center"/>
            </w:pPr>
            <w:r>
              <w:t>95</w:t>
            </w:r>
          </w:p>
        </w:tc>
        <w:tc>
          <w:tcPr>
            <w:tcW w:w="683" w:type="dxa"/>
          </w:tcPr>
          <w:p w14:paraId="6C0A83BF" w14:textId="06BEA5BF" w:rsidR="00776E38" w:rsidRDefault="00776E38" w:rsidP="00776E38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1137" w:type="dxa"/>
          </w:tcPr>
          <w:p w14:paraId="6A6D310B" w14:textId="429AFE6C" w:rsidR="00776E38" w:rsidRDefault="00776E38" w:rsidP="00776E38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1283" w:type="dxa"/>
          </w:tcPr>
          <w:p w14:paraId="79FF5A2B" w14:textId="0AAA277B" w:rsidR="00776E38" w:rsidRDefault="00776E38" w:rsidP="00776E38">
            <w:pPr>
              <w:tabs>
                <w:tab w:val="left" w:pos="5400"/>
              </w:tabs>
              <w:spacing w:line="240" w:lineRule="auto"/>
              <w:jc w:val="center"/>
            </w:pPr>
            <w:r>
              <w:t>42</w:t>
            </w:r>
          </w:p>
        </w:tc>
        <w:tc>
          <w:tcPr>
            <w:tcW w:w="1310" w:type="dxa"/>
          </w:tcPr>
          <w:p w14:paraId="7CAA7B9B" w14:textId="66D4F059" w:rsidR="00776E38" w:rsidRDefault="00776E38" w:rsidP="00776E38">
            <w:pPr>
              <w:tabs>
                <w:tab w:val="left" w:pos="5400"/>
              </w:tabs>
              <w:spacing w:line="240" w:lineRule="auto"/>
              <w:jc w:val="center"/>
            </w:pPr>
            <w:r>
              <w:t>160</w:t>
            </w:r>
          </w:p>
        </w:tc>
        <w:tc>
          <w:tcPr>
            <w:tcW w:w="1056" w:type="dxa"/>
          </w:tcPr>
          <w:p w14:paraId="3354D50E" w14:textId="65735B3B" w:rsidR="00776E38" w:rsidRDefault="00776E38" w:rsidP="00776E38">
            <w:pPr>
              <w:tabs>
                <w:tab w:val="left" w:pos="5400"/>
              </w:tabs>
              <w:spacing w:line="240" w:lineRule="auto"/>
              <w:jc w:val="center"/>
            </w:pPr>
            <w:r>
              <w:t>1,175</w:t>
            </w:r>
          </w:p>
        </w:tc>
      </w:tr>
    </w:tbl>
    <w:p w14:paraId="14140AF0" w14:textId="77777777" w:rsidR="00DE3BB7" w:rsidRPr="00CA3F5D" w:rsidRDefault="00DE3BB7" w:rsidP="00CA3F5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E696B5A" w14:textId="77777777" w:rsidR="00CA3F5D" w:rsidRPr="00CA3F5D" w:rsidRDefault="00CA3F5D" w:rsidP="00CA3F5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A3F5D">
        <w:rPr>
          <w:rFonts w:eastAsiaTheme="majorEastAsia" w:cstheme="majorBidi"/>
          <w:b/>
          <w:color w:val="000000" w:themeColor="text1"/>
          <w:szCs w:val="26"/>
        </w:rPr>
        <w:t>6.      What Mental Health Services are made available for police officers experiencing poor mental health within this organisation?</w:t>
      </w:r>
    </w:p>
    <w:p w14:paraId="08C6413A" w14:textId="77777777" w:rsidR="00DE3BB7" w:rsidRPr="00DE3BB7" w:rsidRDefault="00DE3BB7" w:rsidP="00DE3BB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DE3BB7">
        <w:rPr>
          <w:rFonts w:eastAsiaTheme="majorEastAsia" w:cstheme="majorBidi"/>
          <w:bCs/>
          <w:color w:val="000000" w:themeColor="text1"/>
          <w:szCs w:val="26"/>
        </w:rPr>
        <w:t>Police Scotland provide the following:</w:t>
      </w:r>
    </w:p>
    <w:p w14:paraId="38C0F290" w14:textId="77777777" w:rsidR="00DE3BB7" w:rsidRPr="00DE3BB7" w:rsidRDefault="00DE3BB7" w:rsidP="00DE3BB7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DE3BB7">
        <w:rPr>
          <w:rFonts w:eastAsiaTheme="majorEastAsia" w:cstheme="majorBidi"/>
          <w:bCs/>
          <w:color w:val="000000" w:themeColor="text1"/>
          <w:szCs w:val="26"/>
        </w:rPr>
        <w:t xml:space="preserve">VIVUP EAP – self referral &amp; confidential.  Up to 8 general counselling sessions but more available if counsellors request them. </w:t>
      </w:r>
    </w:p>
    <w:p w14:paraId="5D264365" w14:textId="77777777" w:rsidR="00DE3BB7" w:rsidRPr="00DE3BB7" w:rsidRDefault="00DE3BB7" w:rsidP="00DE3BB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DE3BB7">
        <w:rPr>
          <w:rFonts w:eastAsiaTheme="majorEastAsia" w:cstheme="majorBidi"/>
          <w:bCs/>
          <w:color w:val="000000" w:themeColor="text1"/>
          <w:szCs w:val="26"/>
        </w:rPr>
        <w:t>Also available if VIVUP deem it necessary trauma focussed support of up to 12 sessions.</w:t>
      </w:r>
    </w:p>
    <w:p w14:paraId="1FF465AA" w14:textId="77777777" w:rsidR="00DE3BB7" w:rsidRPr="00DE3BB7" w:rsidRDefault="00DE3BB7" w:rsidP="00DE3BB7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DE3BB7">
        <w:rPr>
          <w:rFonts w:eastAsiaTheme="majorEastAsia" w:cstheme="majorBidi"/>
          <w:bCs/>
          <w:color w:val="000000" w:themeColor="text1"/>
          <w:szCs w:val="26"/>
        </w:rPr>
        <w:lastRenderedPageBreak/>
        <w:t>Police Treatment Centre – they can provide a 14-day residential course of wellbeing events including up to 3 counselling sessions.</w:t>
      </w:r>
    </w:p>
    <w:p w14:paraId="7DECFAC7" w14:textId="77777777" w:rsidR="00DE3BB7" w:rsidRPr="00DE3BB7" w:rsidRDefault="00DE3BB7" w:rsidP="00DE3BB7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DE3BB7">
        <w:rPr>
          <w:rFonts w:eastAsiaTheme="majorEastAsia" w:cstheme="majorBidi"/>
          <w:bCs/>
          <w:color w:val="000000" w:themeColor="text1"/>
          <w:szCs w:val="26"/>
        </w:rPr>
        <w:t>Police Care UK – counselling support if appropriate.</w:t>
      </w:r>
    </w:p>
    <w:p w14:paraId="075DA433" w14:textId="77777777" w:rsidR="00DE3BB7" w:rsidRPr="00DE3BB7" w:rsidRDefault="00DE3BB7" w:rsidP="00DE3BB7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E3BB7">
        <w:rPr>
          <w:rFonts w:eastAsiaTheme="majorEastAsia" w:cstheme="majorBidi"/>
          <w:bCs/>
          <w:color w:val="000000" w:themeColor="text1"/>
          <w:szCs w:val="26"/>
        </w:rPr>
        <w:t>Optima Health – line management referral for guidance &amp; advise only</w:t>
      </w:r>
      <w:r w:rsidRPr="00DE3BB7">
        <w:rPr>
          <w:rFonts w:eastAsiaTheme="majorEastAsia" w:cstheme="majorBidi"/>
          <w:b/>
          <w:color w:val="000000" w:themeColor="text1"/>
          <w:szCs w:val="26"/>
        </w:rPr>
        <w:t>.</w:t>
      </w:r>
    </w:p>
    <w:p w14:paraId="1F35443E" w14:textId="23D97944" w:rsidR="00EF0FBB" w:rsidRDefault="00DE3BB7" w:rsidP="00793DD5">
      <w:pPr>
        <w:tabs>
          <w:tab w:val="left" w:pos="5400"/>
        </w:tabs>
      </w:pPr>
      <w:r>
        <w:t>In addition to the above, o</w:t>
      </w:r>
      <w:r w:rsidRPr="00DE3BB7">
        <w:t>fficers and staff are offered yearly Wellbeing Assessments, and some specialist posts are offered a resilience assessment</w:t>
      </w:r>
      <w:r w:rsidR="00AA3817">
        <w:t>.</w:t>
      </w:r>
    </w:p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849F7"/>
    <w:multiLevelType w:val="hybridMultilevel"/>
    <w:tmpl w:val="4C864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983542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55D3"/>
    <w:rsid w:val="00090F3B"/>
    <w:rsid w:val="000E2F19"/>
    <w:rsid w:val="000E6526"/>
    <w:rsid w:val="00141533"/>
    <w:rsid w:val="00167528"/>
    <w:rsid w:val="0018695D"/>
    <w:rsid w:val="00195CC4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6E2C15"/>
    <w:rsid w:val="006E64ED"/>
    <w:rsid w:val="007440EA"/>
    <w:rsid w:val="00750D83"/>
    <w:rsid w:val="00766FF8"/>
    <w:rsid w:val="00776E38"/>
    <w:rsid w:val="00785DBC"/>
    <w:rsid w:val="00793DD5"/>
    <w:rsid w:val="007D55F6"/>
    <w:rsid w:val="007F490F"/>
    <w:rsid w:val="008468D6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A18CB"/>
    <w:rsid w:val="00AA3817"/>
    <w:rsid w:val="00AC443C"/>
    <w:rsid w:val="00B033D6"/>
    <w:rsid w:val="00B11A55"/>
    <w:rsid w:val="00B17211"/>
    <w:rsid w:val="00B461B2"/>
    <w:rsid w:val="00B654B6"/>
    <w:rsid w:val="00B71B3C"/>
    <w:rsid w:val="00BC389E"/>
    <w:rsid w:val="00BD620A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A3F5D"/>
    <w:rsid w:val="00CF1111"/>
    <w:rsid w:val="00D05706"/>
    <w:rsid w:val="00D27DC5"/>
    <w:rsid w:val="00D47E36"/>
    <w:rsid w:val="00DE3BB7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647</Words>
  <Characters>3690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2025-02-05T11:52:00Z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